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and the Manager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w:t>
      </w:r>
      <w:r>
        <w:rPr>
          <w:rFonts w:ascii="Times New Roman" w:hAnsi="Times New Roman"/>
          <w:b/>
          <w:sz w:val="24"/>
          <w:szCs w:val="24"/>
        </w:rPr>
        <w:t xml:space="preserve">[MANAGER NAME]</w:t>
      </w:r>
      <w:r>
        <w:rPr>
          <w:rFonts w:ascii="Times New Roman" w:hAnsi="Times New Roman"/>
          <w:sz w:val="24"/>
          <w:szCs w:val="24"/>
        </w:rPr>
        <w:t xml:space="preserve">. The Manager need not be a Member. The Manager serves until resignation, removal, death, or incapacity. The Manager may be removed, with or without cause, and any successor Manager shall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8.5A, and the association of the interest shall be established by those records.</w:t>
      </w:r>
    </w:p>
    <w:p>
      <w:pPr>
        <w:keepLines/>
        <w:widowControl/>
        <w:spacing w:after="160"/>
        <w:jc w:val="both"/>
      </w:pPr>
      <w:r>
        <w:rPr>
          <w:rFonts w:ascii="Times New Roman" w:hAnsi="Times New Roman"/>
          <w:b/>
          <w:sz w:val="24"/>
          <w:szCs w:val="24"/>
        </w:rPr>
        <w:t xml:space="preserve">8.5A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The classification of the Company and of each Protected Series shall in all events be determined under federal tax law as applied to each of them, and nothing in this Agreement constitutes tax advice or a guarantee of any particular tax treatment.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4.12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