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Multiple Members / Partnership Taxation)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any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Section 4.10 applies to all other activities.</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Other Activities.</w:t>
      </w:r>
      <w:r>
        <w:rPr>
          <w:rFonts w:ascii="Times New Roman" w:hAnsi="Times New Roman"/>
          <w:sz w:val="24"/>
          <w:szCs w:val="24"/>
        </w:rPr>
        <w:t xml:space="preserve"> Subject to Sections 4.7 through 4.9, each Member and the Manager may engage in or possess interests in other business ventures of any nature, independently or with others, and neither the Company nor any Protected Series nor any other Member shall have any right in such ventures by virtue of this Agreement.</w:t>
      </w:r>
    </w:p>
    <w:p>
      <w:pPr>
        <w:keepLines/>
        <w:widowControl/>
        <w:spacing w:after="160"/>
        <w:jc w:val="both"/>
      </w:pPr>
      <w:r>
        <w:rPr>
          <w:rFonts w:ascii="Times New Roman" w:hAnsi="Times New Roman"/>
          <w:b/>
          <w:sz w:val="24"/>
          <w:szCs w:val="24"/>
        </w:rPr>
        <w:t xml:space="preserve">4.11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4.12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who is an Immediate Family Member of the deceased Member is admitted as a Member upon delivery to the Company of a written agreement to be bound by this Agreement; any other beneficiary is admitted as a Member upon such delivery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w:t>
      </w:r>
      <w:r>
        <w:rPr>
          <w:rFonts w:ascii="Times New Roman" w:hAnsi="Times New Roman"/>
          <w:b/>
          <w:sz w:val="24"/>
          <w:szCs w:val="24"/>
        </w:rPr>
        <w:t xml:space="preserve">[MANAGER NAME]</w:t>
      </w:r>
      <w:r>
        <w:rPr>
          <w:rFonts w:ascii="Times New Roman" w:hAnsi="Times New Roman"/>
          <w:sz w:val="24"/>
          <w:szCs w:val="24"/>
        </w:rPr>
        <w:t xml:space="preserve">. The Manager need not be a Member. The Manager serves until resignation, removal, death, or incapacity. The Manager may be removed, with or without cause, and any successor Manager shall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 CAPITAL ACCOUNTS</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any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Inter-Series Transfer (as defined in Section 5.4(b)) requires the approvals stated in Section 5.4(b) and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Members' inspection rights are as stated in Section 4.11.</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Nothing in this Agreement constitutes tax advice or a guarantee of any particular tax treatment, and no Member or Manager makes any representation regarding the tax consequences of the protected series structure.</w:t>
      </w:r>
    </w:p>
    <w:p>
      <w:pPr>
        <w:keepLines/>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and shall deliver to each Member, after the end of each fiscal year, the tax information (including Schedule K-1s, where applicable) necessary for the Member's returns.</w:t>
      </w:r>
    </w:p>
    <w:p>
      <w:pPr>
        <w:keepLines/>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keepLines/>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keepLines/>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9.6 S Corporation Election.</w:t>
      </w:r>
      <w:r>
        <w:rPr>
          <w:rFonts w:ascii="Times New Roman" w:hAnsi="Times New Roman"/>
          <w:sz w:val="24"/>
          <w:szCs w:val="24"/>
        </w:rPr>
        <w:t xml:space="preserve"> The Company (or any Protected Series treated as a separate entity for federal income tax purposes) may elect classification as an association taxable as a corporation and S corporation status only upon the affirmative vote or consent of all Members. Before or promptly upon making any such election, the Members shall amend and restate this Agreement in the Company's S corporation form of operating agreement, under which the Company and every Protected Series must have identical Members with identical percentages and all allocations and distributions are made strictly pro rata. From the effective date of any such election, and whether or not this Agreement has yet been amended and restated, it is the express intent of the Members that the Company qualify at all times as a small business corporation eligible for a valid election under section 1362 of the Code and that the election remain in effect; all allocations and distributions — including distributions in liquidation — shall be made strictly pro rata in accordance with Percentage Interests, notwithstanding any other provision of this Agreement; any provision of this Agreement, of any Series Exhibit, or of any other agreement among the Members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4.12,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4.12,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(and, if the amendment would alter the rights or obligations of a Member not associated with that Protected Series, by that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