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MOVING THEM BETWEEN SILOS</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imposes the recordkeeping duties as binding covenants (separate accounts, contemporaneous documentation of inter-series transfers, titling rules, an annual review). And Section 8.9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Section 8.9 is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§8.9 standing association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(§8.9(a))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§8.9 makes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Sweep the mothership periodically: if something valuable has accumulated at the company level, associate it where it belongs — with a documented inter-series transfer (Section 10) — before a company-level creditor shows up, not after.</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(§1.10(a))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§8.9(b) standing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MOVING THEM BETWEEN SILOS</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§8.9(b).</w:t>
      </w:r>
    </w:p>
    <w:p>
      <w:pPr>
        <w:keepLines/>
        <w:widowControl/>
        <w:spacing w:after="160"/>
        <w:jc w:val="both"/>
      </w:pPr>
      <w:r>
        <w:rPr>
          <w:rFonts w:ascii="Georgia" w:hAnsi="Georgia"/>
          <w:b/>
          <w:sz w:val="22"/>
          <w:szCs w:val="22"/>
        </w:rPr>
        <w:t xml:space="preserve">Moving assets between silos — the highest-risk routine transaction in the structure.</w:t>
      </w:r>
      <w:r>
        <w:rPr>
          <w:rFonts w:ascii="Georgia" w:hAnsi="Georgia"/>
          <w:sz w:val="22"/>
          <w:szCs w:val="22"/>
        </w:rPr>
        <w:t xml:space="preserve"> Every transfer between the company and a series, or between series ("inter-series transfer"), must be documented </w:t>
      </w:r>
      <w:r>
        <w:rPr>
          <w:rFonts w:ascii="Georgia" w:hAnsi="Georgia"/>
          <w:b/>
          <w:sz w:val="22"/>
          <w:szCs w:val="22"/>
        </w:rPr>
        <w:t xml:space="preserve">at the time it happens</w:t>
      </w:r>
      <w:r>
        <w:rPr>
          <w:rFonts w:ascii="Georgia" w:hAnsi="Georgia"/>
          <w:sz w:val="22"/>
          <w:szCs w:val="22"/>
        </w:rPr>
        <w:t xml:space="preserve"> with the four facts s. 605.2301 demands: the asset, the two silos, the date, and </w:t>
      </w:r>
      <w:r>
        <w:rPr>
          <w:rFonts w:ascii="Georgia" w:hAnsi="Georgia"/>
          <w:b/>
          <w:sz w:val="22"/>
          <w:szCs w:val="22"/>
        </w:rPr>
        <w:t xml:space="preserve">the consideration — the price, the payor, and the payee</w:t>
      </w:r>
      <w:r>
        <w:rPr>
          <w:rFonts w:ascii="Georgia" w:hAnsi="Georgia"/>
          <w:sz w:val="22"/>
          <w:szCs w:val="22"/>
        </w:rPr>
        <w:t xml:space="preserve"> (agreement §8.4). In the multi-member agreement, inter-series transfers also require member approval (§5.4(b)) — because quietly shuffling assets between silos owned by different people is how a manager robs Peter's series to pay Paul's.</w:t>
      </w:r>
    </w:p>
    <w:p>
      <w:pPr>
        <w:keepNext/>
        <w:keepLines/>
        <w:widowControl/>
        <w:spacing w:after="160"/>
        <w:jc w:val="both"/>
      </w:pPr>
      <w:r>
        <w:rPr>
          <w:rFonts w:ascii="Georgia" w:hAnsi="Georgia"/>
          <w:sz w:val="22"/>
          <w:szCs w:val="22"/>
        </w:rPr>
        <w:t xml:space="preserve">Do it like this, every time:</w:t>
      </w:r>
    </w:p>
    <w:p>
      <w:pPr>
        <w:keepLines/>
        <w:widowControl/>
        <w:spacing w:after="80"/>
        <w:ind w:left="432"/>
        <w:jc w:val="both"/>
      </w:pPr>
      <w:r>
        <w:rPr>
          <w:rFonts w:ascii="Georgia" w:hAnsi="Georgia"/>
          <w:sz w:val="22"/>
          <w:szCs w:val="22"/>
        </w:rPr>
        <w:t xml:space="preserve">1. Decide the terms: sale at fair value, or a documented distribution up / contribution down.</w:t>
      </w:r>
    </w:p>
    <w:p>
      <w:pPr>
        <w:keepLines/>
        <w:widowControl/>
        <w:spacing w:after="80"/>
        <w:ind w:left="432"/>
        <w:jc w:val="both"/>
      </w:pPr>
      <w:r>
        <w:rPr>
          <w:rFonts w:ascii="Georgia" w:hAnsi="Georgia"/>
          <w:sz w:val="22"/>
          <w:szCs w:val="22"/>
        </w:rPr>
        <w:t xml:space="preserve">2. Paper it: a one-page transfer memo (Section 30 has the form) — asset, from, to, date, consideration, payor, payee.</w:t>
      </w:r>
    </w:p>
    <w:p>
      <w:pPr>
        <w:keepLines/>
        <w:widowControl/>
        <w:spacing w:after="80"/>
        <w:ind w:left="432"/>
        <w:jc w:val="both"/>
      </w:pPr>
      <w:r>
        <w:rPr>
          <w:rFonts w:ascii="Georgia" w:hAnsi="Georgia"/>
          <w:sz w:val="22"/>
          <w:szCs w:val="22"/>
        </w:rPr>
        <w:t xml:space="preserve">3. Move the money between the two silos' accounts so the banking mirrors the paper.</w:t>
      </w:r>
    </w:p>
    <w:p>
      <w:pPr>
        <w:keepLines/>
        <w:widowControl/>
        <w:spacing w:after="80"/>
        <w:ind w:left="432"/>
        <w:jc w:val="both"/>
      </w:pPr>
      <w:r>
        <w:rPr>
          <w:rFonts w:ascii="Georgia" w:hAnsi="Georgia"/>
          <w:sz w:val="22"/>
          <w:szCs w:val="22"/>
        </w:rPr>
        <w:t xml:space="preserve">4. Re-title if the asset has a title (deed, vehicle, account).</w:t>
      </w:r>
    </w:p>
    <w:p>
      <w:pPr>
        <w:keepLines/>
        <w:widowControl/>
        <w:spacing w:after="80"/>
        <w:ind w:left="432"/>
        <w:jc w:val="both"/>
      </w:pPr>
      <w:r>
        <w:rPr>
          <w:rFonts w:ascii="Georgia" w:hAnsi="Georgia"/>
          <w:sz w:val="22"/>
          <w:szCs w:val="22"/>
        </w:rPr>
        <w:t xml:space="preserve">5. Log it in both silos' ledgers (the app's transfer log does both sides at once).</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 (agreement §8.6).</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Bank statements in the series' name are association records a stranger believes instantly.</w:t>
      </w:r>
    </w:p>
    <w:p>
      <w:pPr>
        <w:keepLines/>
        <w:widowControl/>
        <w:spacing w:after="160"/>
        <w:jc w:val="both"/>
      </w:pPr>
      <w:r>
        <w:rPr>
          <w:rFonts w:ascii="Georgia" w:hAnsi="Georgia"/>
          <w:b/>
          <w:sz w:val="22"/>
          <w:szCs w:val="22"/>
        </w:rPr>
        <w:t xml:space="preserve">Habit 3 — Paper every inter-series move, contemporaneously</w:t>
      </w:r>
      <w:r>
        <w:rPr>
          <w:rFonts w:ascii="Georgia" w:hAnsi="Georgia"/>
          <w:sz w:val="22"/>
          <w:szCs w:val="22"/>
        </w:rPr>
        <w:t xml:space="preserve"> (Section 10). The statute's consideration/payor/payee requirement exists precisely for these transfers — it is the difference between compartments and one big pot with labels.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Your agreement's §8.7 now says so expressly.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Your agreement (§8.8) requires an annual compliance review of all of it.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your agreement's §8.9(d)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 a beneficiary who is not close family automatically receives the economic interest, but becomes a voting member only with the other members' consent — death does not bypass the same controls that govern lifetime transfers.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undocumented.</w:t>
      </w:r>
      <w:r>
        <w:rPr>
          <w:rFonts w:ascii="Georgia" w:hAnsi="Georgia"/>
          <w:sz w:val="22"/>
          <w:szCs w:val="22"/>
        </w:rPr>
        <w:t xml:space="preserve"> No consideration, payor, payee memo → the transferred asset's association is exactly as strong as §605.2404 is forgiving, which is not at all.</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 (agreement §8.8)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inter-series transfer this year has its memo, consideration, and matching bank entries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§8.9(d)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§8.4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(agreement §8.4 —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