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83 paragraphs identical · 84 changed · 53 only in the first · 4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trike/>
          <w:color w:val="C00000"/>
          <w:sz w:val="24"/>
          <w:szCs w:val="24"/>
        </w:rPr>
        <w:t xml:space="preserve">1.11 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1.10A 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color w:val="0645AD"/>
          <w:u w:val="single"/>
          <w:sz w:val="24"/>
          <w:szCs w:val="24"/>
        </w:rPr>
        <w:t xml:space="preserve">1.11 Waiver of Partition Rights.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members of the Company (which, while the Member is the sole member, means the consent of 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w:t>
      </w:r>
      <w:r>
        <w:rPr>
          <w:rFonts w:ascii="Times New Roman" w:hAnsi="Times New Roman"/>
          <w:color w:val="0645AD"/>
          <w:u w:val="single"/>
          <w:sz w:val="24"/>
          <w:szCs w:val="24"/>
        </w:rPr>
        <w:t xml:space="preserve">or of a Protected Series exceeds current and anticipated needs, including operating expenses, debt service, acquisitions, and reserves, and may distribute any such excess to </w:t>
      </w:r>
      <w:r>
        <w:rPr>
          <w:rFonts w:ascii="Times New Roman" w:hAnsi="Times New Roman"/>
          <w:sz w:val="24"/>
          <w:szCs w:val="24"/>
        </w:rPr>
        <w:t xml:space="preserve">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Member (or, in the case </w:t>
      </w:r>
      <w:r>
        <w:rPr>
          <w:rFonts w:ascii="Times New Roman" w:hAnsi="Times New Roman"/>
          <w:sz w:val="24"/>
          <w:szCs w:val="24"/>
        </w:rPr>
        <w:t xml:space="preserve">of </w:t>
      </w:r>
      <w:r>
        <w:rPr>
          <w:rFonts w:ascii="Times New Roman" w:hAnsi="Times New Roman"/>
          <w:color w:val="0645AD"/>
          <w:u w:val="single"/>
          <w:sz w:val="24"/>
          <w:szCs w:val="24"/>
        </w:rPr>
        <w:t xml:space="preserve">a Protected Series,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the 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Company.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Article 11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From the effective date of any such election, and whether or not this Agreement has yet been amended and restated,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w:t>
      </w:r>
      <w:r>
        <w:rPr>
          <w:rFonts w:ascii="Times New Roman" w:hAnsi="Times New Roman"/>
          <w:sz w:val="24"/>
          <w:szCs w:val="24"/>
        </w:rPr>
        <w:t xml:space="preserve">and </w:t>
      </w:r>
      <w:r>
        <w:rPr>
          <w:rFonts w:ascii="Times New Roman" w:hAnsi="Times New Roman"/>
          <w:color w:val="0645AD"/>
          <w:u w:val="single"/>
          <w:sz w:val="24"/>
          <w:szCs w:val="24"/>
        </w:rPr>
        <w:t xml:space="preserve">that the election remain in effect; any provision </w:t>
      </w:r>
      <w:r>
        <w:rPr>
          <w:rFonts w:ascii="Times New Roman" w:hAnsi="Times New Roman"/>
          <w:sz w:val="24"/>
          <w:szCs w:val="24"/>
        </w:rPr>
        <w:t xml:space="preserve">of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this Agreement, of any Series Exhibit, or of any other agreement relating to the Company or any </w:t>
      </w:r>
      <w:r>
        <w:rPr>
          <w:rFonts w:ascii="Times New Roman" w:hAnsi="Times New Roman"/>
          <w:sz w:val="24"/>
          <w:szCs w:val="24"/>
        </w:rPr>
        <w:t xml:space="preserve">Protected Series </w:t>
      </w:r>
      <w:r>
        <w:rPr>
          <w:rFonts w:ascii="Times New Roman" w:hAnsi="Times New Roman"/>
          <w:color w:val="0645AD"/>
          <w:u w:val="single"/>
          <w:sz w:val="24"/>
          <w:szCs w:val="24"/>
        </w:rPr>
        <w:t xml:space="preserve">that would cause the election to be invalid or to terminate </w:t>
      </w:r>
      <w:r>
        <w:rPr>
          <w:rFonts w:ascii="Times New Roman" w:hAnsi="Times New Roman"/>
          <w:sz w:val="24"/>
          <w:szCs w:val="24"/>
        </w:rPr>
        <w:t xml:space="preserve">is </w:t>
      </w:r>
      <w:r>
        <w:rPr>
          <w:rFonts w:ascii="Times New Roman" w:hAnsi="Times New Roman"/>
          <w:color w:val="0645AD"/>
          <w:u w:val="single"/>
          <w:sz w:val="24"/>
          <w:szCs w:val="24"/>
        </w:rPr>
        <w:t xml:space="preserve">null and void ab initio and shall be given no force or effect for any purpose; and, to </w:t>
      </w:r>
      <w:r>
        <w:rPr>
          <w:rFonts w:ascii="Times New Roman" w:hAnsi="Times New Roman"/>
          <w:sz w:val="24"/>
          <w:szCs w:val="24"/>
        </w:rPr>
        <w:t xml:space="preserve">the </w:t>
      </w:r>
      <w:r>
        <w:rPr>
          <w:rFonts w:ascii="Times New Roman" w:hAnsi="Times New Roman"/>
          <w:strike/>
          <w:color w:val="C00000"/>
          <w:sz w:val="24"/>
          <w:szCs w:val="24"/>
        </w:rPr>
        <w:t xml:space="preserve">calendar year unless </w:t>
      </w:r>
      <w:r>
        <w:rPr>
          <w:rFonts w:ascii="Times New Roman" w:hAnsi="Times New Roman"/>
          <w:color w:val="0645AD"/>
          <w:u w:val="single"/>
          <w:sz w:val="24"/>
          <w:szCs w:val="24"/>
        </w:rPr>
        <w:t xml:space="preserve">extent any provision can be conformed rather than voided, this Agreement shall be applied and, to </w:t>
      </w:r>
      <w:r>
        <w:rPr>
          <w:rFonts w:ascii="Times New Roman" w:hAnsi="Times New Roman"/>
          <w:sz w:val="24"/>
          <w:szCs w:val="24"/>
        </w:rPr>
        <w:t xml:space="preserve">the </w:t>
      </w:r>
      <w:r>
        <w:rPr>
          <w:rFonts w:ascii="Times New Roman" w:hAnsi="Times New Roman"/>
          <w:strike/>
          <w:color w:val="C00000"/>
          <w:sz w:val="24"/>
          <w:szCs w:val="24"/>
        </w:rPr>
        <w:t xml:space="preserve">Manager selects another permitted year. </w:t>
      </w:r>
      <w:r>
        <w:rPr>
          <w:rFonts w:ascii="Times New Roman" w:hAnsi="Times New Roman"/>
          <w:color w:val="0645AD"/>
          <w:u w:val="single"/>
          <w:sz w:val="24"/>
          <w:szCs w:val="24"/>
        </w:rPr>
        <w:t xml:space="preserve">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 </w:t>
      </w:r>
    </w:p>
    <w:p>
      <w:pPr>
        <w:keepLines/>
        <w:widowControl/>
        <w:spacing w:after="160"/>
        <w:jc w:val="both"/>
      </w:pPr>
      <w:r>
        <w:rPr>
          <w:rFonts w:ascii="Times New Roman" w:hAnsi="Times New Roman"/>
          <w:sz w:val="24"/>
          <w:szCs w:val="24"/>
        </w:rPr>
        <w:t xml:space="preserve">ARTICLE 10 — </w:t>
      </w:r>
      <w:r>
        <w:rPr>
          <w:rFonts w:ascii="Times New Roman" w:hAnsi="Times New Roman"/>
          <w:strike/>
          <w:color w:val="C00000"/>
          <w:sz w:val="24"/>
          <w:szCs w:val="24"/>
        </w:rPr>
        <w:t xml:space="preserve">TRANSFERS; CREDITOR PROVISIONS </w:t>
      </w:r>
      <w:r>
        <w:rPr>
          <w:rFonts w:ascii="Times New Roman" w:hAnsi="Times New Roman"/>
          <w:color w:val="0645AD"/>
          <w:u w:val="single"/>
          <w:sz w:val="24"/>
          <w:szCs w:val="24"/>
        </w:rPr>
        <w:t xml:space="preserve">TRANSFERS </w:t>
      </w:r>
    </w:p>
    <w:p>
      <w:pPr>
        <w:keepLines/>
        <w:widowControl/>
        <w:spacing w:after="160"/>
        <w:jc w:val="both"/>
      </w:pPr>
      <w:r>
        <w:rPr>
          <w:rFonts w:ascii="Times New Roman" w:hAnsi="Times New Roman"/>
          <w:sz w:val="24"/>
          <w:szCs w:val="24"/>
        </w:rPr>
        <w:t xml:space="preserve">10.1 Restriction on Transfer.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shall </w:t>
      </w:r>
      <w:r>
        <w:rPr>
          <w:rFonts w:ascii="Times New Roman" w:hAnsi="Times New Roman"/>
          <w:color w:val="0645AD"/>
          <w:u w:val="single"/>
          <w:sz w:val="24"/>
          <w:szCs w:val="24"/>
        </w:rPr>
        <w:t xml:space="preserve">not </w:t>
      </w:r>
      <w:r>
        <w:rPr>
          <w:rFonts w:ascii="Times New Roman" w:hAnsi="Times New Roman"/>
          <w:sz w:val="24"/>
          <w:szCs w:val="24"/>
        </w:rPr>
        <w:t xml:space="preserve">Transfer all or any portion 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Interest, or any right to receive distributions from the Company or any Protected Series, except (a) a Transfer to an Immediate Family Member </w:t>
      </w:r>
      <w:r>
        <w:rPr>
          <w:rFonts w:ascii="Times New Roman" w:hAnsi="Times New Roman"/>
          <w:strike/>
          <w:color w:val="C00000"/>
          <w:sz w:val="24"/>
          <w:szCs w:val="24"/>
        </w:rPr>
        <w:t xml:space="preserve">of the transferring Member </w:t>
      </w:r>
      <w:r>
        <w:rPr>
          <w:rFonts w:ascii="Times New Roman" w:hAnsi="Times New Roman"/>
          <w:sz w:val="24"/>
          <w:szCs w:val="24"/>
        </w:rPr>
        <w:t xml:space="preserve">made in compliance with Section 10.2, (b) a Transfer effective at death pursuant to the </w:t>
      </w:r>
      <w:r>
        <w:rPr>
          <w:rFonts w:ascii="Times New Roman" w:hAnsi="Times New Roman"/>
          <w:strike/>
          <w:color w:val="C00000"/>
          <w:sz w:val="24"/>
          <w:szCs w:val="24"/>
        </w:rPr>
        <w:t xml:space="preserve">transferring Member's </w:t>
      </w:r>
      <w:r>
        <w:rPr>
          <w:rFonts w:ascii="Times New Roman" w:hAnsi="Times New Roman"/>
          <w:sz w:val="24"/>
          <w:szCs w:val="24"/>
        </w:rPr>
        <w:t xml:space="preserve">TOD designation 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4.6, </w:t>
      </w:r>
      <w:r>
        <w:rPr>
          <w:rFonts w:ascii="Times New Roman" w:hAnsi="Times New Roman"/>
          <w:sz w:val="24"/>
          <w:szCs w:val="24"/>
        </w:rPr>
        <w:t xml:space="preserve">or (c) another Transfer </w:t>
      </w:r>
      <w:r>
        <w:rPr>
          <w:rFonts w:ascii="Times New Roman" w:hAnsi="Times New Roman"/>
          <w:strike/>
          <w:color w:val="C00000"/>
          <w:sz w:val="24"/>
          <w:szCs w:val="24"/>
        </w:rPr>
        <w:t xml:space="preserve">made with </w:t>
      </w:r>
      <w:r>
        <w:rPr>
          <w:rFonts w:ascii="Times New Roman" w:hAnsi="Times New Roman"/>
          <w:color w:val="0645AD"/>
          <w:u w:val="single"/>
          <w:sz w:val="24"/>
          <w:szCs w:val="24"/>
        </w:rPr>
        <w:t xml:space="preserve">approved in writing by </w:t>
      </w:r>
      <w:r>
        <w:rPr>
          <w:rFonts w:ascii="Times New Roman" w:hAnsi="Times New Roman"/>
          <w:sz w:val="24"/>
          <w:szCs w:val="24"/>
        </w:rPr>
        <w:t xml:space="preserve">the </w:t>
      </w:r>
      <w:r>
        <w:rPr>
          <w:rFonts w:ascii="Times New Roman" w:hAnsi="Times New Roman"/>
          <w:strike/>
          <w:color w:val="C00000"/>
          <w:sz w:val="24"/>
          <w:szCs w:val="24"/>
        </w:rPr>
        <w:t xml:space="preserve">prior written consent of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strike/>
          <w:color w:val="C00000"/>
          <w:sz w:val="24"/>
          <w:szCs w:val="24"/>
        </w:rPr>
        <w:t xml:space="preserve">of a Majority </w:t>
      </w:r>
      <w:r>
        <w:rPr>
          <w:rFonts w:ascii="Times New Roman" w:hAnsi="Times New Roman"/>
          <w:color w:val="0645AD"/>
          <w:u w:val="single"/>
          <w:sz w:val="24"/>
          <w:szCs w:val="24"/>
        </w:rPr>
        <w:t xml:space="preserve">reflected </w:t>
      </w:r>
      <w:r>
        <w:rPr>
          <w:rFonts w:ascii="Times New Roman" w:hAnsi="Times New Roman"/>
          <w:sz w:val="24"/>
          <w:szCs w:val="24"/>
        </w:rPr>
        <w:t xml:space="preserve">in </w:t>
      </w:r>
      <w:r>
        <w:rPr>
          <w:rFonts w:ascii="Times New Roman" w:hAnsi="Times New Roman"/>
          <w:strike/>
          <w:color w:val="C00000"/>
          <w:sz w:val="24"/>
          <w:szCs w:val="24"/>
        </w:rPr>
        <w:t xml:space="preserve">Interest of the Members other than the transferring Member. </w:t>
      </w:r>
      <w:r>
        <w:rPr>
          <w:rFonts w:ascii="Times New Roman" w:hAnsi="Times New Roman"/>
          <w:color w:val="0645AD"/>
          <w:u w:val="single"/>
          <w:sz w:val="24"/>
          <w:szCs w:val="24"/>
        </w:rPr>
        <w:t xml:space="preserve">an amendment to Exhibit A. </w:t>
      </w:r>
      <w:r>
        <w:rPr>
          <w:rFonts w:ascii="Times New Roman" w:hAnsi="Times New Roman"/>
          <w:sz w:val="24"/>
          <w:szCs w:val="24"/>
        </w:rPr>
        <w:t xml:space="preserve">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Interest to an Immediate Family </w:t>
      </w:r>
      <w:r>
        <w:rPr>
          <w:rFonts w:ascii="Times New Roman" w:hAnsi="Times New Roman"/>
          <w:strike/>
          <w:color w:val="C00000"/>
          <w:sz w:val="24"/>
          <w:szCs w:val="24"/>
        </w:rPr>
        <w:t xml:space="preserve">Member of the transferring </w:t>
      </w:r>
      <w:r>
        <w:rPr>
          <w:rFonts w:ascii="Times New Roman" w:hAnsi="Times New Roman"/>
          <w:sz w:val="24"/>
          <w:szCs w:val="24"/>
        </w:rPr>
        <w:t xml:space="preserve">Member is permitted, provided the transferee delivers to the Company a signed agreement to be bound by this Agreement.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transferee </w:t>
      </w:r>
      <w:r>
        <w:rPr>
          <w:rFonts w:ascii="Times New Roman" w:hAnsi="Times New Roman"/>
          <w:color w:val="0645AD"/>
          <w:u w:val="single"/>
          <w:sz w:val="24"/>
          <w:szCs w:val="24"/>
        </w:rPr>
        <w:t xml:space="preserve">(other than a person admitted as a member under Section 11.1) </w:t>
      </w:r>
      <w:r>
        <w:rPr>
          <w:rFonts w:ascii="Times New Roman" w:hAnsi="Times New Roman"/>
          <w:sz w:val="24"/>
          <w:szCs w:val="24"/>
        </w:rPr>
        <w:t xml:space="preserve">holds </w:t>
      </w:r>
      <w:r>
        <w:rPr>
          <w:rFonts w:ascii="Times New Roman" w:hAnsi="Times New Roman"/>
          <w:color w:val="0645AD"/>
          <w:u w:val="single"/>
          <w:sz w:val="24"/>
          <w:szCs w:val="24"/>
        </w:rPr>
        <w:t xml:space="preserve">only the transferable interest — the right to receive distributions that would otherwise be paid to the Member with respect to </w:t>
      </w:r>
      <w:r>
        <w:rPr>
          <w:rFonts w:ascii="Times New Roman" w:hAnsi="Times New Roman"/>
          <w:sz w:val="24"/>
          <w:szCs w:val="24"/>
        </w:rPr>
        <w:t xml:space="preserve">the transferred interest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 and has no right to participate in management, to inspect records, or to exercise any other right of </w:t>
      </w:r>
      <w:r>
        <w:rPr>
          <w:rFonts w:ascii="Times New Roman" w:hAnsi="Times New Roman"/>
          <w:sz w:val="24"/>
          <w:szCs w:val="24"/>
        </w:rPr>
        <w:t xml:space="preserve">a </w:t>
      </w:r>
      <w:r>
        <w:rPr>
          <w:rFonts w:ascii="Times New Roman" w:hAnsi="Times New Roman"/>
          <w:strike/>
          <w:color w:val="C00000"/>
          <w:sz w:val="24"/>
          <w:szCs w:val="24"/>
        </w:rPr>
        <w:t xml:space="preserve">transferee under Section 10.3 unless and until admitted as a Member under Section 12.1.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10.3 </w:t>
      </w:r>
      <w:r>
        <w:rPr>
          <w:rFonts w:ascii="Times New Roman" w:hAnsi="Times New Roman"/>
          <w:strike/>
          <w:color w:val="C00000"/>
          <w:sz w:val="24"/>
          <w:szCs w:val="24"/>
        </w:rPr>
        <w:t xml:space="preserve">Rights of Transferees. </w:t>
      </w:r>
      <w:r>
        <w:rPr>
          <w:rFonts w:ascii="Times New Roman" w:hAnsi="Times New Roman"/>
          <w:color w:val="0645AD"/>
          <w:u w:val="single"/>
          <w:sz w:val="24"/>
          <w:szCs w:val="24"/>
        </w:rPr>
        <w:t xml:space="preserve">No Dissociation by Transfer Alone. </w:t>
      </w:r>
      <w:r>
        <w:rPr>
          <w:rFonts w:ascii="Times New Roman" w:hAnsi="Times New Roman"/>
          <w:sz w:val="24"/>
          <w:szCs w:val="24"/>
        </w:rPr>
        <w:t xml:space="preserve">A </w:t>
      </w:r>
      <w:r>
        <w:rPr>
          <w:rFonts w:ascii="Times New Roman" w:hAnsi="Times New Roman"/>
          <w:strike/>
          <w:color w:val="C00000"/>
          <w:sz w:val="24"/>
          <w:szCs w:val="24"/>
        </w:rPr>
        <w:t xml:space="preserve">transferee (including a permitted family transferee) who is </w:t>
      </w:r>
      <w:r>
        <w:rPr>
          <w:rFonts w:ascii="Times New Roman" w:hAnsi="Times New Roman"/>
          <w:color w:val="0645AD"/>
          <w:u w:val="single"/>
          <w:sz w:val="24"/>
          <w:szCs w:val="24"/>
        </w:rPr>
        <w:t xml:space="preserve">Transfer does </w:t>
      </w:r>
      <w:r>
        <w:rPr>
          <w:rFonts w:ascii="Times New Roman" w:hAnsi="Times New Roman"/>
          <w:sz w:val="24"/>
          <w:szCs w:val="24"/>
        </w:rPr>
        <w:t xml:space="preserve">not </w:t>
      </w:r>
      <w:r>
        <w:rPr>
          <w:rFonts w:ascii="Times New Roman" w:hAnsi="Times New Roman"/>
          <w:strike/>
          <w:color w:val="C00000"/>
          <w:sz w:val="24"/>
          <w:szCs w:val="24"/>
        </w:rPr>
        <w:t xml:space="preserve">admitted as a </w:t>
      </w:r>
      <w:r>
        <w:rPr>
          <w:rFonts w:ascii="Times New Roman" w:hAnsi="Times New Roman"/>
          <w:color w:val="0645AD"/>
          <w:u w:val="single"/>
          <w:sz w:val="24"/>
          <w:szCs w:val="24"/>
        </w:rPr>
        <w:t xml:space="preserve">by itself dissociate the </w:t>
      </w:r>
      <w:r>
        <w:rPr>
          <w:rFonts w:ascii="Times New Roman" w:hAnsi="Times New Roman"/>
          <w:sz w:val="24"/>
          <w:szCs w:val="24"/>
        </w:rPr>
        <w:t xml:space="preserve">Member </w:t>
      </w:r>
      <w:r>
        <w:rPr>
          <w:rFonts w:ascii="Times New Roman" w:hAnsi="Times New Roman"/>
          <w:strike/>
          <w:color w:val="C00000"/>
          <w:sz w:val="24"/>
          <w:szCs w:val="24"/>
        </w:rPr>
        <w:t xml:space="preserve">under Article 12 holds only </w:t>
      </w:r>
      <w:r>
        <w:rPr>
          <w:rFonts w:ascii="Times New Roman" w:hAnsi="Times New Roman"/>
          <w:color w:val="0645AD"/>
          <w:u w:val="single"/>
          <w:sz w:val="24"/>
          <w:szCs w:val="24"/>
        </w:rPr>
        <w:t xml:space="preserve">or dissolve </w:t>
      </w:r>
      <w:r>
        <w:rPr>
          <w:rFonts w:ascii="Times New Roman" w:hAnsi="Times New Roman"/>
          <w:sz w:val="24"/>
          <w:szCs w:val="24"/>
        </w:rPr>
        <w:t xml:space="preserve">the </w:t>
      </w:r>
      <w:r>
        <w:rPr>
          <w:rFonts w:ascii="Times New Roman" w:hAnsi="Times New Roman"/>
          <w:strike/>
          <w:color w:val="C00000"/>
          <w:sz w:val="24"/>
          <w:szCs w:val="24"/>
        </w:rPr>
        <w:t xml:space="preserve">transferable interest — the right to receive the distributions that would otherwise be paid to the transferor with respect to the transferred interest — and has no right to vote, to participate in management, to inspect records, </w:t>
      </w:r>
      <w:r>
        <w:rPr>
          <w:rFonts w:ascii="Times New Roman" w:hAnsi="Times New Roman"/>
          <w:color w:val="0645AD"/>
          <w:u w:val="single"/>
          <w:sz w:val="24"/>
          <w:szCs w:val="24"/>
        </w:rPr>
        <w:t xml:space="preserve">Company </w:t>
      </w:r>
      <w:r>
        <w:rPr>
          <w:rFonts w:ascii="Times New Roman" w:hAnsi="Times New Roman"/>
          <w:sz w:val="24"/>
          <w:szCs w:val="24"/>
        </w:rPr>
        <w:t xml:space="preserve">or </w:t>
      </w:r>
      <w:r>
        <w:rPr>
          <w:rFonts w:ascii="Times New Roman" w:hAnsi="Times New Roman"/>
          <w:strike/>
          <w:color w:val="C00000"/>
          <w:sz w:val="24"/>
          <w:szCs w:val="24"/>
        </w:rPr>
        <w:t xml:space="preserve">to exercise </w:t>
      </w:r>
      <w:r>
        <w:rPr>
          <w:rFonts w:ascii="Times New Roman" w:hAnsi="Times New Roman"/>
          <w:sz w:val="24"/>
          <w:szCs w:val="24"/>
        </w:rPr>
        <w:t xml:space="preserve">any </w:t>
      </w:r>
      <w:r>
        <w:rPr>
          <w:rFonts w:ascii="Times New Roman" w:hAnsi="Times New Roman"/>
          <w:strike/>
          <w:color w:val="C00000"/>
          <w:sz w:val="24"/>
          <w:szCs w:val="24"/>
        </w:rPr>
        <w:t xml:space="preserve">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10.4 Involuntary Transfers; Option to Acquire.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ARTICLE 11 — ADMISSION OF ADDITIONAL MEMBERS </w:t>
      </w:r>
    </w:p>
    <w:p>
      <w:pPr>
        <w:keepLines/>
        <w:widowControl/>
        <w:spacing w:after="160"/>
        <w:jc w:val="both"/>
      </w:pPr>
      <w:r>
        <w:rPr>
          <w:rFonts w:ascii="Times New Roman" w:hAnsi="Times New Roman"/>
          <w:strike/>
          <w:color w:val="C00000"/>
          <w:sz w:val="24"/>
          <w:szCs w:val="24"/>
        </w:rPr>
        <w:t xml:space="preserve">10.5 No Dissociation by Transfer Alone. A Transfer does not by itself dissociate a Member </w:t>
      </w:r>
      <w:r>
        <w:rPr>
          <w:rFonts w:ascii="Times New Roman" w:hAnsi="Times New Roman"/>
          <w:color w:val="0645AD"/>
          <w:u w:val="single"/>
          <w:sz w:val="24"/>
          <w:szCs w:val="24"/>
        </w:rPr>
        <w:t xml:space="preserve">11.1 Admission. One </w:t>
      </w:r>
      <w:r>
        <w:rPr>
          <w:rFonts w:ascii="Times New Roman" w:hAnsi="Times New Roman"/>
          <w:sz w:val="24"/>
          <w:szCs w:val="24"/>
        </w:rPr>
        <w:t xml:space="preserve">or </w:t>
      </w:r>
      <w:r>
        <w:rPr>
          <w:rFonts w:ascii="Times New Roman" w:hAnsi="Times New Roman"/>
          <w:strike/>
          <w:color w:val="C00000"/>
          <w:sz w:val="24"/>
          <w:szCs w:val="24"/>
        </w:rPr>
        <w:t xml:space="preserve">dissolve </w:t>
      </w:r>
      <w:r>
        <w:rPr>
          <w:rFonts w:ascii="Times New Roman" w:hAnsi="Times New Roman"/>
          <w:color w:val="0645AD"/>
          <w:u w:val="single"/>
          <w:sz w:val="24"/>
          <w:szCs w:val="24"/>
        </w:rPr>
        <w:t xml:space="preserve">more additional members may be admitted to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w:t>
      </w:r>
      <w:r>
        <w:rPr>
          <w:rFonts w:ascii="Times New Roman" w:hAnsi="Times New Roman"/>
          <w:color w:val="0645AD"/>
          <w:u w:val="single"/>
          <w:sz w:val="24"/>
          <w:szCs w:val="24"/>
        </w:rPr>
        <w:t xml:space="preserve">only with the written consent of the Member and upon the admitted person's delivery of a signed agreement to be bound by this Agreement.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11.2 No Association with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w:t>
      </w:r>
      <w:r>
        <w:rPr>
          <w:rFonts w:ascii="Times New Roman" w:hAnsi="Times New Roman"/>
          <w:color w:val="0645AD"/>
          <w:u w:val="single"/>
          <w:sz w:val="24"/>
          <w:szCs w:val="24"/>
        </w:rPr>
        <w:t xml:space="preserve">Protected Series. No member may be associated with </w:t>
      </w:r>
      <w:r>
        <w:rPr>
          <w:rFonts w:ascii="Times New Roman" w:hAnsi="Times New Roman"/>
          <w:sz w:val="24"/>
          <w:szCs w:val="24"/>
        </w:rPr>
        <w:t xml:space="preserve">a </w:t>
      </w:r>
      <w:r>
        <w:rPr>
          <w:rFonts w:ascii="Times New Roman" w:hAnsi="Times New Roman"/>
          <w:strike/>
          <w:color w:val="C00000"/>
          <w:sz w:val="24"/>
          <w:szCs w:val="24"/>
        </w:rPr>
        <w:t xml:space="preserve">judgment creditor of a Member or of a transferee may satisfy a judgment from the judgment debtor's Membership Interest or transferable interest, whether in the Company or in respect of any </w:t>
      </w:r>
      <w:r>
        <w:rPr>
          <w:rFonts w:ascii="Times New Roman" w:hAnsi="Times New Roman"/>
          <w:sz w:val="24"/>
          <w:szCs w:val="24"/>
        </w:rPr>
        <w:t xml:space="preserve">Protected Series. A </w:t>
      </w:r>
      <w:r>
        <w:rPr>
          <w:rFonts w:ascii="Times New Roman" w:hAnsi="Times New Roman"/>
          <w:strike/>
          <w:color w:val="C00000"/>
          <w:sz w:val="24"/>
          <w:szCs w:val="24"/>
        </w:rPr>
        <w:t xml:space="preserve">judgment creditor or other holder of a charging order has only </w:t>
      </w:r>
      <w:r>
        <w:rPr>
          <w:rFonts w:ascii="Times New Roman" w:hAnsi="Times New Roman"/>
          <w:color w:val="0645AD"/>
          <w:u w:val="single"/>
          <w:sz w:val="24"/>
          <w:szCs w:val="24"/>
        </w:rPr>
        <w:t xml:space="preserve">Protected Series may not 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of the rights of a member or manager, is not entitled to </w:t>
      </w:r>
      <w:r>
        <w:rPr>
          <w:rFonts w:ascii="Times New Roman" w:hAnsi="Times New Roman"/>
          <w:color w:val="0645AD"/>
          <w:u w:val="single"/>
          <w:sz w:val="24"/>
          <w:szCs w:val="24"/>
        </w:rPr>
        <w:t xml:space="preserve">Company 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accounting, inspection, or information rights except as the Act mandates, and, for so long as </w:t>
      </w:r>
      <w:r>
        <w:rPr>
          <w:rFonts w:ascii="Times New Roman" w:hAnsi="Times New Roman"/>
          <w:color w:val="0645AD"/>
          <w:u w:val="single"/>
          <w:sz w:val="24"/>
          <w:szCs w:val="24"/>
        </w:rPr>
        <w:t xml:space="preserve">election </w:t>
      </w:r>
      <w:r>
        <w:rPr>
          <w:rFonts w:ascii="Times New Roman" w:hAnsi="Times New Roman"/>
          <w:sz w:val="24"/>
          <w:szCs w:val="24"/>
        </w:rPr>
        <w:t xml:space="preserve">the Company has </w:t>
      </w:r>
      <w:r>
        <w:rPr>
          <w:rFonts w:ascii="Times New Roman" w:hAnsi="Times New Roman"/>
          <w:strike/>
          <w:color w:val="C00000"/>
          <w:sz w:val="24"/>
          <w:szCs w:val="24"/>
        </w:rPr>
        <w:t xml:space="preserve">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made.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DISSOLUTION AND WINDING UP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12.1 Dissolution of a Protected Series. A Protected Series is dissolved, and its activities and affairs shall be wound up, upon the first to occur of: (a) the dissolution of the Company; (b) an event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a personal service agreement due to </w:t>
      </w:r>
      <w:r>
        <w:rPr>
          <w:rFonts w:ascii="Times New Roman" w:hAnsi="Times New Roman"/>
          <w:color w:val="0645AD"/>
          <w:u w:val="single"/>
          <w:sz w:val="24"/>
          <w:szCs w:val="24"/>
        </w:rPr>
        <w:t xml:space="preserve">circumstance specified in its Series Exhibit; (c)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obligations owed by each Member and the Manager, and a bankruptcy trustee cannot assume </w:t>
      </w:r>
      <w:r>
        <w:rPr>
          <w:rFonts w:ascii="Times New Roman" w:hAnsi="Times New Roman"/>
          <w:color w:val="0645AD"/>
          <w:u w:val="single"/>
          <w:sz w:val="24"/>
          <w:szCs w:val="24"/>
        </w:rPr>
        <w:t xml:space="preserve">affirmative vote </w:t>
      </w:r>
      <w:r>
        <w:rPr>
          <w:rFonts w:ascii="Times New Roman" w:hAnsi="Times New Roman"/>
          <w:sz w:val="24"/>
          <w:szCs w:val="24"/>
        </w:rPr>
        <w:t xml:space="preserve">or </w:t>
      </w:r>
      <w:r>
        <w:rPr>
          <w:rFonts w:ascii="Times New Roman" w:hAnsi="Times New Roman"/>
          <w:strike/>
          <w:color w:val="C00000"/>
          <w:sz w:val="24"/>
          <w:szCs w:val="24"/>
        </w:rPr>
        <w:t xml:space="preserve">assign a debtor Member's interest in the Company in accordance with 11 U.S.C. §365(c)(1) without the prior written </w:t>
      </w:r>
      <w:r>
        <w:rPr>
          <w:rFonts w:ascii="Times New Roman" w:hAnsi="Times New Roman"/>
          <w:sz w:val="24"/>
          <w:szCs w:val="24"/>
        </w:rPr>
        <w:t xml:space="preserve">consent of the </w:t>
      </w:r>
      <w:r>
        <w:rPr>
          <w:rFonts w:ascii="Times New Roman" w:hAnsi="Times New Roman"/>
          <w:strike/>
          <w:color w:val="C00000"/>
          <w:sz w:val="24"/>
          <w:szCs w:val="24"/>
        </w:rPr>
        <w:t xml:space="preserve">other Members. </w:t>
      </w:r>
      <w:r>
        <w:rPr>
          <w:rFonts w:ascii="Times New Roman" w:hAnsi="Times New Roman"/>
          <w:color w:val="0645AD"/>
          <w:u w:val="single"/>
          <w:sz w:val="24"/>
          <w:szCs w:val="24"/>
        </w:rPr>
        <w:t xml:space="preserve">Member; or (d) entry of a judicial order dissolving the Protected Series as provided by the Act.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provide for its Associated Liabilities to creditors (including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Member as a creditor, </w:t>
      </w:r>
      <w:r>
        <w:rPr>
          <w:rFonts w:ascii="Times New Roman" w:hAnsi="Times New Roman"/>
          <w:sz w:val="24"/>
          <w:szCs w:val="24"/>
        </w:rPr>
        <w:t xml:space="preserve">to the extent </w:t>
      </w:r>
      <w:r>
        <w:rPr>
          <w:rFonts w:ascii="Times New Roman" w:hAnsi="Times New Roman"/>
          <w:strike/>
          <w:color w:val="C00000"/>
          <w:sz w:val="24"/>
          <w:szCs w:val="24"/>
        </w:rPr>
        <w:t xml:space="preserve">that a trustee </w:t>
      </w:r>
      <w:r>
        <w:rPr>
          <w:rFonts w:ascii="Times New Roman" w:hAnsi="Times New Roman"/>
          <w:color w:val="0645AD"/>
          <w:u w:val="single"/>
          <w:sz w:val="24"/>
          <w:szCs w:val="24"/>
        </w:rPr>
        <w:t xml:space="preserve">permitted by law); and then the balance to the Company. The Manager shall cause any statement or filing required by the Act or the Department in connection with the dissolution of the Protected Series to be made. The winding up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or reject a debtor Member's interest in </w:t>
      </w:r>
      <w:r>
        <w:rPr>
          <w:rFonts w:ascii="Times New Roman" w:hAnsi="Times New Roman"/>
          <w:color w:val="0645AD"/>
          <w:u w:val="single"/>
          <w:sz w:val="24"/>
          <w:szCs w:val="24"/>
        </w:rPr>
        <w:t xml:space="preserve">Protected Series shall not draw upon, and its creditors shall have no recourse to, the 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the time period set forth in 11 U.S.C. §365(d), and if the trustee assumes such debtor Member's interest, such trustee shall comply with the terms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any other Protected Series.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12.1 Admission </w:t>
      </w:r>
      <w:r>
        <w:rPr>
          <w:rFonts w:ascii="Times New Roman" w:hAnsi="Times New Roman"/>
          <w:color w:val="0645AD"/>
          <w:u w:val="single"/>
          <w:sz w:val="24"/>
          <w:szCs w:val="24"/>
        </w:rPr>
        <w:t xml:space="preserve">12.4 Winding Up the Company. Upon dissolution </w:t>
      </w:r>
      <w:r>
        <w:rPr>
          <w:rFonts w:ascii="Times New Roman" w:hAnsi="Times New Roman"/>
          <w:sz w:val="24"/>
          <w:szCs w:val="24"/>
        </w:rPr>
        <w:t xml:space="preserve">of </w:t>
      </w:r>
      <w:r>
        <w:rPr>
          <w:rFonts w:ascii="Times New Roman" w:hAnsi="Times New Roman"/>
          <w:strike/>
          <w:color w:val="C00000"/>
          <w:sz w:val="24"/>
          <w:szCs w:val="24"/>
        </w:rPr>
        <w:t xml:space="preserve">Members. A </w:t>
      </w:r>
      <w:r>
        <w:rPr>
          <w:rFonts w:ascii="Times New Roman" w:hAnsi="Times New Roman"/>
          <w:color w:val="0645AD"/>
          <w:u w:val="single"/>
          <w:sz w:val="24"/>
          <w:szCs w:val="24"/>
        </w:rPr>
        <w:t xml:space="preserve">the Company, the Manager (or, if there is none, a </w:t>
      </w:r>
      <w:r>
        <w:rPr>
          <w:rFonts w:ascii="Times New Roman" w:hAnsi="Times New Roman"/>
          <w:sz w:val="24"/>
          <w:szCs w:val="24"/>
        </w:rPr>
        <w:t xml:space="preserve">person </w:t>
      </w:r>
      <w:r>
        <w:rPr>
          <w:rFonts w:ascii="Times New Roman" w:hAnsi="Times New Roman"/>
          <w:strike/>
          <w:color w:val="C00000"/>
          <w:sz w:val="24"/>
          <w:szCs w:val="24"/>
        </w:rPr>
        <w:t xml:space="preserve">may be admitted as a Member </w:t>
      </w:r>
      <w:r>
        <w:rPr>
          <w:rFonts w:ascii="Times New Roman" w:hAnsi="Times New Roman"/>
          <w:color w:val="0645AD"/>
          <w:u w:val="single"/>
          <w:sz w:val="24"/>
          <w:szCs w:val="24"/>
        </w:rPr>
        <w:t xml:space="preserve">designated by the Member) shall wind up the Company and each Protected Series. After the winding up of each Protected Series under Section 12.2, the remaining Associated Assets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shall be applied: first, to pay or provide for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dissolution shall be filed as the Act requires,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w:t>
      </w:r>
      <w:r>
        <w:rPr>
          <w:rFonts w:ascii="Times New Roman" w:hAnsi="Times New Roman"/>
          <w:color w:val="0645AD"/>
          <w:u w:val="single"/>
          <w:sz w:val="24"/>
          <w:szCs w:val="24"/>
        </w:rPr>
        <w:t xml:space="preserve">Company shall terminate when winding up </w:t>
      </w:r>
      <w:r>
        <w:rPr>
          <w:rFonts w:ascii="Times New Roman" w:hAnsi="Times New Roman"/>
          <w:sz w:val="24"/>
          <w:szCs w:val="24"/>
        </w:rPr>
        <w:t xml:space="preserve">is </w:t>
      </w:r>
      <w:r>
        <w:rPr>
          <w:rFonts w:ascii="Times New Roman" w:hAnsi="Times New Roman"/>
          <w:strike/>
          <w:color w:val="C00000"/>
          <w:sz w:val="24"/>
          <w:szCs w:val="24"/>
        </w:rPr>
        <w:t xml:space="preserve">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complete. </w:t>
      </w:r>
    </w:p>
    <w:p>
      <w:pPr>
        <w:keepLines/>
        <w:widowControl/>
        <w:spacing w:after="160"/>
        <w:jc w:val="both"/>
      </w:pPr>
      <w:r>
        <w:rPr>
          <w:rFonts w:ascii="Times New Roman" w:hAnsi="Times New Roman"/>
          <w:strike/>
          <w:color w:val="C00000"/>
          <w:sz w:val="24"/>
          <w:szCs w:val="24"/>
        </w:rPr>
        <w:t xml:space="preserve">12.2 </w:t>
      </w:r>
      <w:r>
        <w:rPr>
          <w:rFonts w:ascii="Times New Roman" w:hAnsi="Times New Roman"/>
          <w:color w:val="0645AD"/>
          <w:u w:val="single"/>
          <w:sz w:val="24"/>
          <w:szCs w:val="24"/>
        </w:rPr>
        <w:t xml:space="preserve">12.5 </w:t>
      </w:r>
      <w:r>
        <w:rPr>
          <w:rFonts w:ascii="Times New Roman" w:hAnsi="Times New Roman"/>
          <w:sz w:val="24"/>
          <w:szCs w:val="24"/>
        </w:rPr>
        <w:t xml:space="preserve">No </w:t>
      </w:r>
      <w:r>
        <w:rPr>
          <w:rFonts w:ascii="Times New Roman" w:hAnsi="Times New Roman"/>
          <w:strike/>
          <w:color w:val="C00000"/>
          <w:sz w:val="24"/>
          <w:szCs w:val="24"/>
        </w:rPr>
        <w:t xml:space="preserve">Association </w:t>
      </w:r>
      <w:r>
        <w:rPr>
          <w:rFonts w:ascii="Times New Roman" w:hAnsi="Times New Roman"/>
          <w:color w:val="0645AD"/>
          <w:u w:val="single"/>
          <w:sz w:val="24"/>
          <w:szCs w:val="24"/>
        </w:rPr>
        <w:t xml:space="preserve">Deficit Obligation; Recourse Limited. The Member shall have no obligation to restore any deficit or to contribute capital in connection </w:t>
      </w:r>
      <w:r>
        <w:rPr>
          <w:rFonts w:ascii="Times New Roman" w:hAnsi="Times New Roman"/>
          <w:sz w:val="24"/>
          <w:szCs w:val="24"/>
        </w:rPr>
        <w:t xml:space="preserve">with </w:t>
      </w:r>
      <w:r>
        <w:rPr>
          <w:rFonts w:ascii="Times New Roman" w:hAnsi="Times New Roman"/>
          <w:strike/>
          <w:color w:val="C00000"/>
          <w:sz w:val="24"/>
          <w:szCs w:val="24"/>
        </w:rPr>
        <w:t xml:space="preserve">a Protected Series. No Member may be associated with a Protected Series. A </w:t>
      </w:r>
      <w:r>
        <w:rPr>
          <w:rFonts w:ascii="Times New Roman" w:hAnsi="Times New Roman"/>
          <w:color w:val="0645AD"/>
          <w:u w:val="single"/>
          <w:sz w:val="24"/>
          <w:szCs w:val="24"/>
        </w:rPr>
        <w:t xml:space="preserve">any winding up, and each creditor of the Company or of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be established with, and may not admit, an </w:t>
      </w:r>
      <w:r>
        <w:rPr>
          <w:rFonts w:ascii="Times New Roman" w:hAnsi="Times New Roman"/>
          <w:color w:val="0645AD"/>
          <w:u w:val="single"/>
          <w:sz w:val="24"/>
          <w:szCs w:val="24"/>
        </w:rPr>
        <w:t xml:space="preserve">shall look solely to the </w:t>
      </w:r>
      <w:r>
        <w:rPr>
          <w:rFonts w:ascii="Times New Roman" w:hAnsi="Times New Roman"/>
          <w:sz w:val="24"/>
          <w:szCs w:val="24"/>
        </w:rPr>
        <w:t xml:space="preserve">Associated </w:t>
      </w:r>
      <w:r>
        <w:rPr>
          <w:rFonts w:ascii="Times New Roman" w:hAnsi="Times New Roman"/>
          <w:strike/>
          <w:color w:val="C00000"/>
          <w:sz w:val="24"/>
          <w:szCs w:val="24"/>
        </w:rPr>
        <w:t xml:space="preserve">Member. Any amendment permitting Associated Members may cause each Protected Series to be treated as an entity separate from the Company for federal income tax purposes, with </w:t>
      </w:r>
      <w:r>
        <w:rPr>
          <w:rFonts w:ascii="Times New Roman" w:hAnsi="Times New Roman"/>
          <w:color w:val="0645AD"/>
          <w:u w:val="single"/>
          <w:sz w:val="24"/>
          <w:szCs w:val="24"/>
        </w:rPr>
        <w:t xml:space="preserve">Assets of </w:t>
      </w:r>
      <w:r>
        <w:rPr>
          <w:rFonts w:ascii="Times New Roman" w:hAnsi="Times New Roman"/>
          <w:sz w:val="24"/>
          <w:szCs w:val="24"/>
        </w:rPr>
        <w:t xml:space="preserve">its </w:t>
      </w:r>
      <w:r>
        <w:rPr>
          <w:rFonts w:ascii="Times New Roman" w:hAnsi="Times New Roman"/>
          <w:strike/>
          <w:color w:val="C00000"/>
          <w:sz w:val="24"/>
          <w:szCs w:val="24"/>
        </w:rPr>
        <w:t xml:space="preserve">own filing obligations, and may terminate any election the Company has made. </w:t>
      </w:r>
      <w:r>
        <w:rPr>
          <w:rFonts w:ascii="Times New Roman" w:hAnsi="Times New Roman"/>
          <w:color w:val="0645AD"/>
          <w:u w:val="single"/>
          <w:sz w:val="24"/>
          <w:szCs w:val="24"/>
        </w:rPr>
        <w:t xml:space="preserve">obligor. </w:t>
      </w:r>
    </w:p>
    <w:p>
      <w:pPr>
        <w:keepLines/>
        <w:widowControl/>
        <w:spacing w:after="160"/>
        <w:jc w:val="both"/>
      </w:pPr>
      <w:r>
        <w:rPr>
          <w:rFonts w:ascii="Times New Roman" w:hAnsi="Times New Roman"/>
          <w:strike/>
          <w:color w:val="C00000"/>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13.1 Amendments.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w:t>
      </w:r>
      <w:r>
        <w:rPr>
          <w:rFonts w:ascii="Times New Roman" w:hAnsi="Times New Roman"/>
          <w:color w:val="0645AD"/>
          <w:u w:val="single"/>
          <w:sz w:val="24"/>
          <w:szCs w:val="24"/>
        </w:rPr>
        <w:t xml:space="preserve">13.2 Action by Written Consent. Any action </w:t>
      </w:r>
      <w:r>
        <w:rPr>
          <w:rFonts w:ascii="Times New Roman" w:hAnsi="Times New Roman"/>
          <w:sz w:val="24"/>
          <w:szCs w:val="24"/>
        </w:rPr>
        <w:t xml:space="preserve">of the </w:t>
      </w:r>
      <w:r>
        <w:rPr>
          <w:rFonts w:ascii="Times New Roman" w:hAnsi="Times New Roman"/>
          <w:strike/>
          <w:color w:val="C00000"/>
          <w:sz w:val="24"/>
          <w:szCs w:val="24"/>
        </w:rPr>
        <w:t xml:space="preserve">Company without </w:t>
      </w:r>
      <w:r>
        <w:rPr>
          <w:rFonts w:ascii="Times New Roman" w:hAnsi="Times New Roman"/>
          <w:color w:val="0645AD"/>
          <w:u w:val="single"/>
          <w:sz w:val="24"/>
          <w:szCs w:val="24"/>
        </w:rPr>
        <w:t xml:space="preserve">Member, or of </w:t>
      </w:r>
      <w:r>
        <w:rPr>
          <w:rFonts w:ascii="Times New Roman" w:hAnsi="Times New Roman"/>
          <w:sz w:val="24"/>
          <w:szCs w:val="24"/>
        </w:rPr>
        <w:t xml:space="preserve">the </w:t>
      </w:r>
      <w:r>
        <w:rPr>
          <w:rFonts w:ascii="Times New Roman" w:hAnsi="Times New Roman"/>
          <w:color w:val="0645AD"/>
          <w:u w:val="single"/>
          <w:sz w:val="24"/>
          <w:szCs w:val="24"/>
        </w:rPr>
        <w:t xml:space="preserve">Company, under this Agreement may be taken by a </w:t>
      </w:r>
      <w:r>
        <w:rPr>
          <w:rFonts w:ascii="Times New Roman" w:hAnsi="Times New Roman"/>
          <w:sz w:val="24"/>
          <w:szCs w:val="24"/>
        </w:rPr>
        <w:t xml:space="preserve">written consent </w:t>
      </w:r>
      <w:r>
        <w:rPr>
          <w:rFonts w:ascii="Times New Roman" w:hAnsi="Times New Roman"/>
          <w:strike/>
          <w:color w:val="C00000"/>
          <w:sz w:val="24"/>
          <w:szCs w:val="24"/>
        </w:rPr>
        <w:t xml:space="preserve">of all other Members. A Member's dissociation, whether or not wrongful, does not entitle </w:t>
      </w:r>
      <w:r>
        <w:rPr>
          <w:rFonts w:ascii="Times New Roman" w:hAnsi="Times New Roman"/>
          <w:color w:val="0645AD"/>
          <w:u w:val="single"/>
          <w:sz w:val="24"/>
          <w:szCs w:val="24"/>
        </w:rPr>
        <w:t xml:space="preserve">signed by </w:t>
      </w:r>
      <w:r>
        <w:rPr>
          <w:rFonts w:ascii="Times New Roman" w:hAnsi="Times New Roman"/>
          <w:sz w:val="24"/>
          <w:szCs w:val="24"/>
        </w:rPr>
        <w:t xml:space="preserve">the </w:t>
      </w:r>
      <w:r>
        <w:rPr>
          <w:rFonts w:ascii="Times New Roman" w:hAnsi="Times New Roman"/>
          <w:strike/>
          <w:color w:val="C00000"/>
          <w:sz w:val="24"/>
          <w:szCs w:val="24"/>
        </w:rPr>
        <w:t xml:space="preserve">dissociated </w:t>
      </w:r>
      <w:r>
        <w:rPr>
          <w:rFonts w:ascii="Times New Roman" w:hAnsi="Times New Roman"/>
          <w:sz w:val="24"/>
          <w:szCs w:val="24"/>
        </w:rPr>
        <w:t xml:space="preserve">Member </w:t>
      </w:r>
      <w:r>
        <w:rPr>
          <w:rFonts w:ascii="Times New Roman" w:hAnsi="Times New Roman"/>
          <w:strike/>
          <w:color w:val="C00000"/>
          <w:sz w:val="24"/>
          <w:szCs w:val="24"/>
        </w:rPr>
        <w:t xml:space="preserve">to any distribution or payment for </w:t>
      </w:r>
      <w:r>
        <w:rPr>
          <w:rFonts w:ascii="Times New Roman" w:hAnsi="Times New Roman"/>
          <w:color w:val="0645AD"/>
          <w:u w:val="single"/>
          <w:sz w:val="24"/>
          <w:szCs w:val="24"/>
        </w:rPr>
        <w:t xml:space="preserve">and maintained with </w:t>
      </w:r>
      <w:r>
        <w:rPr>
          <w:rFonts w:ascii="Times New Roman" w:hAnsi="Times New Roman"/>
          <w:sz w:val="24"/>
          <w:szCs w:val="24"/>
        </w:rPr>
        <w:t xml:space="preserve">the </w:t>
      </w:r>
      <w:r>
        <w:rPr>
          <w:rFonts w:ascii="Times New Roman" w:hAnsi="Times New Roman"/>
          <w:strike/>
          <w:color w:val="C00000"/>
          <w:sz w:val="24"/>
          <w:szCs w:val="24"/>
        </w:rPr>
        <w:t xml:space="preserve">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trike/>
          <w:color w:val="C00000"/>
          <w:sz w:val="24"/>
          <w:szCs w:val="24"/>
        </w:rPr>
        <w:t xml:space="preserve">13.2 Deadlock; Buy-Sell Election. [OPTIONAL PROVISION </w:t>
      </w:r>
      <w:r>
        <w:rPr>
          <w:rFonts w:ascii="Times New Roman" w:hAnsi="Times New Roman"/>
          <w:color w:val="0645AD"/>
          <w:u w:val="single"/>
          <w:sz w:val="24"/>
          <w:szCs w:val="24"/>
        </w:rPr>
        <w:t xml:space="preserve">ARTICLE 14 </w:t>
      </w:r>
      <w:r>
        <w:rPr>
          <w:rFonts w:ascii="Times New Roman" w:hAnsi="Times New Roman"/>
          <w:sz w:val="24"/>
          <w:szCs w:val="24"/>
        </w:rPr>
        <w:t xml:space="preserve">— </w:t>
      </w:r>
      <w:r>
        <w:rPr>
          <w:rFonts w:ascii="Times New Roman" w:hAnsi="Times New Roman"/>
          <w:strike/>
          <w:color w:val="C00000"/>
          <w:sz w:val="24"/>
          <w:szCs w:val="24"/>
        </w:rPr>
        <w:t xml:space="preserve">see Instructions; to omit, replace the text of this Section with "[Reserved.]" — do not renumber]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(a) A "Deadlock" exists if </w:t>
      </w:r>
      <w:r>
        <w:rPr>
          <w:rFonts w:ascii="Times New Roman" w:hAnsi="Times New Roman"/>
          <w:color w:val="0645AD"/>
          <w:u w:val="single"/>
          <w:sz w:val="24"/>
          <w:szCs w:val="24"/>
        </w:rPr>
        <w:t xml:space="preserve">14.1 Governing Law; Internal Affairs. This Agreement, </w:t>
      </w:r>
      <w:r>
        <w:rPr>
          <w:rFonts w:ascii="Times New Roman" w:hAnsi="Times New Roman"/>
          <w:sz w:val="24"/>
          <w:szCs w:val="24"/>
        </w:rPr>
        <w:t xml:space="preserve">the </w:t>
      </w:r>
      <w:r>
        <w:rPr>
          <w:rFonts w:ascii="Times New Roman" w:hAnsi="Times New Roman"/>
          <w:strike/>
          <w:color w:val="C00000"/>
          <w:sz w:val="24"/>
          <w:szCs w:val="24"/>
        </w:rPr>
        <w:t xml:space="preserve">Members are unable, by the vote required under this Agreement, to approve or reject a matter duly submitted for approval, and the inability continues for sixty (60) days after any Member delivers written notice to </w:t>
      </w:r>
      <w:r>
        <w:rPr>
          <w:rFonts w:ascii="Times New Roman" w:hAnsi="Times New Roman"/>
          <w:color w:val="0645AD"/>
          <w:u w:val="single"/>
          <w:sz w:val="24"/>
          <w:szCs w:val="24"/>
        </w:rPr>
        <w:t xml:space="preserve">internal affairs of </w:t>
      </w:r>
      <w:r>
        <w:rPr>
          <w:rFonts w:ascii="Times New Roman" w:hAnsi="Times New Roman"/>
          <w:sz w:val="24"/>
          <w:szCs w:val="24"/>
        </w:rPr>
        <w:t xml:space="preserve">the Company and </w:t>
      </w:r>
      <w:r>
        <w:rPr>
          <w:rFonts w:ascii="Times New Roman" w:hAnsi="Times New Roman"/>
          <w:color w:val="0645AD"/>
          <w:u w:val="single"/>
          <w:sz w:val="24"/>
          <w:szCs w:val="24"/>
        </w:rPr>
        <w:t xml:space="preserve">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other Members describing </w:t>
      </w:r>
      <w:r>
        <w:rPr>
          <w:rFonts w:ascii="Times New Roman" w:hAnsi="Times New Roman"/>
          <w:color w:val="0645AD"/>
          <w:u w:val="single"/>
          <w:sz w:val="24"/>
          <w:szCs w:val="24"/>
        </w:rPr>
        <w:t xml:space="preserve">relations among </w:t>
      </w:r>
      <w:r>
        <w:rPr>
          <w:rFonts w:ascii="Times New Roman" w:hAnsi="Times New Roman"/>
          <w:sz w:val="24"/>
          <w:szCs w:val="24"/>
        </w:rPr>
        <w:t xml:space="preserve">the </w:t>
      </w:r>
      <w:r>
        <w:rPr>
          <w:rFonts w:ascii="Times New Roman" w:hAnsi="Times New Roman"/>
          <w:strike/>
          <w:color w:val="C00000"/>
          <w:sz w:val="24"/>
          <w:szCs w:val="24"/>
        </w:rPr>
        <w:t xml:space="preserve">matter </w:t>
      </w:r>
      <w:r>
        <w:rPr>
          <w:rFonts w:ascii="Times New Roman" w:hAnsi="Times New Roman"/>
          <w:color w:val="0645AD"/>
          <w:u w:val="single"/>
          <w:sz w:val="24"/>
          <w:szCs w:val="24"/>
        </w:rPr>
        <w:t xml:space="preserve">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stating that a Deadlock exists. </w:t>
      </w:r>
      <w:r>
        <w:rPr>
          <w:rFonts w:ascii="Times New Roman" w:hAnsi="Times New Roman"/>
          <w:color w:val="0645AD"/>
          <w:u w:val="single"/>
          <w:sz w:val="24"/>
          <w:szCs w:val="24"/>
        </w:rPr>
        <w:t xml:space="preserve">each Protected Series, are governed by the laws of the State of Florida, without regard to conflict-of-laws principles.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14.2 Venue. Any action or proceeding arising out of or relating to this Agreement, the Company, or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or more </w:t>
      </w:r>
      <w:r>
        <w:rPr>
          <w:rFonts w:ascii="Times New Roman" w:hAnsi="Times New Roman"/>
          <w:color w:val="0645AD"/>
          <w:u w:val="single"/>
          <w:sz w:val="24"/>
          <w:szCs w:val="24"/>
        </w:rPr>
        <w:t xml:space="preserve">Protected Series shall be brought exclusively in the courts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w:t>
      </w:r>
      <w:r>
        <w:rPr>
          <w:rFonts w:ascii="Times New Roman" w:hAnsi="Times New Roman"/>
          <w:color w:val="0645AD"/>
          <w:u w:val="single"/>
          <w:sz w:val="24"/>
          <w:szCs w:val="24"/>
        </w:rPr>
        <w:t xml:space="preserve">county in Florida in which the Company's principal office is located, and 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other Members (the "Offerees") a written offer (the "Buy-Sell Offer") stating a single gross valuation for the 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all Protected Series, in cash. The Buy-Sell Offer constitutes both (i) an offer by the Offeror </w:t>
      </w:r>
      <w:r>
        <w:rPr>
          <w:rFonts w:ascii="Times New Roman" w:hAnsi="Times New Roman"/>
          <w:color w:val="0645AD"/>
          <w:u w:val="single"/>
          <w:sz w:val="24"/>
          <w:szCs w:val="24"/>
        </w:rPr>
        <w:t xml:space="preserve">waives any objection </w:t>
      </w:r>
      <w:r>
        <w:rPr>
          <w:rFonts w:ascii="Times New Roman" w:hAnsi="Times New Roman"/>
          <w:sz w:val="24"/>
          <w:szCs w:val="24"/>
        </w:rPr>
        <w:t xml:space="preserve">to </w:t>
      </w:r>
      <w:r>
        <w:rPr>
          <w:rFonts w:ascii="Times New Roman" w:hAnsi="Times New Roman"/>
          <w:strike/>
          <w:color w:val="C00000"/>
          <w:sz w:val="24"/>
          <w:szCs w:val="24"/>
        </w:rPr>
        <w:t xml:space="preserve">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venue there. </w:t>
      </w:r>
    </w:p>
    <w:p>
      <w:pPr>
        <w:keepLines/>
        <w:widowControl/>
        <w:spacing w:after="160"/>
        <w:jc w:val="both"/>
      </w:pPr>
      <w:r>
        <w:rPr>
          <w:rFonts w:ascii="Times New Roman" w:hAnsi="Times New Roman"/>
          <w:strike/>
          <w:color w:val="C00000"/>
          <w:sz w:val="24"/>
          <w:szCs w:val="24"/>
        </w:rPr>
        <w:t xml:space="preserve">(c) Within forty-five (45) days after delivery </w:t>
      </w:r>
      <w:r>
        <w:rPr>
          <w:rFonts w:ascii="Times New Roman" w:hAnsi="Times New Roman"/>
          <w:color w:val="0645AD"/>
          <w:u w:val="single"/>
          <w:sz w:val="24"/>
          <w:szCs w:val="24"/>
        </w:rPr>
        <w:t xml:space="preserve">14.3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w:t>
      </w:r>
      <w:r>
        <w:rPr>
          <w:rFonts w:ascii="Times New Roman" w:hAnsi="Times New Roman"/>
          <w:color w:val="0645AD"/>
          <w:u w:val="single"/>
          <w:sz w:val="24"/>
          <w:szCs w:val="24"/>
        </w:rPr>
        <w:t xml:space="preserve">Act that may not be varied by </w:t>
      </w:r>
      <w:r>
        <w:rPr>
          <w:rFonts w:ascii="Times New Roman" w:hAnsi="Times New Roman"/>
          <w:sz w:val="24"/>
          <w:szCs w:val="24"/>
        </w:rPr>
        <w:t xml:space="preserve">an </w:t>
      </w:r>
      <w:r>
        <w:rPr>
          <w:rFonts w:ascii="Times New Roman" w:hAnsi="Times New Roman"/>
          <w:strike/>
          <w:color w:val="C00000"/>
          <w:sz w:val="24"/>
          <w:szCs w:val="24"/>
        </w:rPr>
        <w:t xml:space="preserve">election to sell.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the selling Members shall Transfer their Membership Interests free of liens, </w:t>
      </w:r>
      <w:r>
        <w:rPr>
          <w:rFonts w:ascii="Times New Roman" w:hAnsi="Times New Roman"/>
          <w:color w:val="0645AD"/>
          <w:u w:val="single"/>
          <w:sz w:val="24"/>
          <w:szCs w:val="24"/>
        </w:rPr>
        <w:t xml:space="preserve">Company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be substituted </w:t>
      </w:r>
      <w:r>
        <w:rPr>
          <w:rFonts w:ascii="Times New Roman" w:hAnsi="Times New Roman"/>
          <w:color w:val="0645AD"/>
          <w:u w:val="single"/>
          <w:sz w:val="24"/>
          <w:szCs w:val="24"/>
        </w:rPr>
        <w:t xml:space="preserve">each Protected Series and supersedes all prior agreements and understandings </w:t>
      </w:r>
      <w:r>
        <w:rPr>
          <w:rFonts w:ascii="Times New Roman" w:hAnsi="Times New Roman"/>
          <w:sz w:val="24"/>
          <w:szCs w:val="24"/>
        </w:rPr>
        <w:t xml:space="preserve">with respect to </w:t>
      </w:r>
      <w:r>
        <w:rPr>
          <w:rFonts w:ascii="Times New Roman" w:hAnsi="Times New Roman"/>
          <w:strike/>
          <w:color w:val="C00000"/>
          <w:sz w:val="24"/>
          <w:szCs w:val="24"/>
        </w:rPr>
        <w:t xml:space="preserve">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their subject matter.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14.5 Binding Effect.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w:t>
      </w:r>
      <w:r>
        <w:rPr>
          <w:rFonts w:ascii="Times New Roman" w:hAnsi="Times New Roman"/>
          <w:color w:val="0645AD"/>
          <w:u w:val="single"/>
          <w:sz w:val="24"/>
          <w:szCs w:val="24"/>
        </w:rPr>
        <w:t xml:space="preserve">Agreement binds and benefits the Member, the Manager, and their respective heirs, personal representatives, successors, and permitted assigns, and </w:t>
      </w:r>
      <w:r>
        <w:rPr>
          <w:rFonts w:ascii="Times New Roman" w:hAnsi="Times New Roman"/>
          <w:sz w:val="24"/>
          <w:szCs w:val="24"/>
        </w:rPr>
        <w:t xml:space="preserve">any </w:t>
      </w:r>
      <w:r>
        <w:rPr>
          <w:rFonts w:ascii="Times New Roman" w:hAnsi="Times New Roman"/>
          <w:strike/>
          <w:color w:val="C00000"/>
          <w:sz w:val="24"/>
          <w:szCs w:val="24"/>
        </w:rPr>
        <w:t xml:space="preserve">matter for which </w:t>
      </w:r>
      <w:r>
        <w:rPr>
          <w:rFonts w:ascii="Times New Roman" w:hAnsi="Times New Roman"/>
          <w:color w:val="0645AD"/>
          <w:u w:val="single"/>
          <w:sz w:val="24"/>
          <w:szCs w:val="24"/>
        </w:rPr>
        <w:t xml:space="preserve">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Company </w:t>
      </w:r>
      <w:r>
        <w:rPr>
          <w:rFonts w:ascii="Times New Roman" w:hAnsi="Times New Roman"/>
          <w:sz w:val="24"/>
          <w:szCs w:val="24"/>
        </w:rPr>
        <w:t xml:space="preserve">or </w:t>
      </w:r>
      <w:r>
        <w:rPr>
          <w:rFonts w:ascii="Times New Roman" w:hAnsi="Times New Roman"/>
          <w:strike/>
          <w:color w:val="C00000"/>
          <w:sz w:val="24"/>
          <w:szCs w:val="24"/>
        </w:rPr>
        <w:t xml:space="preserve">this Agreement requires the consent of all Members and </w:t>
      </w:r>
      <w:r>
        <w:rPr>
          <w:rFonts w:ascii="Times New Roman" w:hAnsi="Times New Roman"/>
          <w:color w:val="0645AD"/>
          <w:u w:val="single"/>
          <w:sz w:val="24"/>
          <w:szCs w:val="24"/>
        </w:rPr>
        <w:t xml:space="preserve">is admitted as </w:t>
      </w:r>
      <w:r>
        <w:rPr>
          <w:rFonts w:ascii="Times New Roman" w:hAnsi="Times New Roman"/>
          <w:sz w:val="24"/>
          <w:szCs w:val="24"/>
        </w:rPr>
        <w:t xml:space="preserve">a </w:t>
      </w:r>
      <w:r>
        <w:rPr>
          <w:rFonts w:ascii="Times New Roman" w:hAnsi="Times New Roman"/>
          <w:strike/>
          <w:color w:val="C00000"/>
          <w:sz w:val="24"/>
          <w:szCs w:val="24"/>
        </w:rPr>
        <w:t xml:space="preserve">Member's withholding of consent is expressly permitted by the Act, and does not limit any Member's right to seek judicial dissolution as provided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w:t>
      </w:r>
      <w:r>
        <w:rPr>
          <w:rFonts w:ascii="Times New Roman" w:hAnsi="Times New Roman"/>
          <w:color w:val="0645AD"/>
          <w:u w:val="single"/>
          <w:sz w:val="24"/>
          <w:szCs w:val="24"/>
        </w:rPr>
        <w:t xml:space="preserve">Agreement may be executed in counterparts, each of which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meaning of s. 605.0702(2), Florida Statutes, providing for a purchase and sale of interests. Delivery of a Buy-Sell Offer under subsection (b) initiates this deadlock sale provision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of the date of delivery.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14.1 Dissolution of a Protected Series. A Protected Series </w:t>
      </w:r>
      <w:r>
        <w:rPr>
          <w:rFonts w:ascii="Times New Roman" w:hAnsi="Times New Roman"/>
          <w:color w:val="0645AD"/>
          <w:u w:val="single"/>
          <w:sz w:val="24"/>
          <w:szCs w:val="24"/>
        </w:rPr>
        <w:t xml:space="preserve">14.8 No Third-Party Beneficiaries. This Agreement </w:t>
      </w:r>
      <w:r>
        <w:rPr>
          <w:rFonts w:ascii="Times New Roman" w:hAnsi="Times New Roman"/>
          <w:sz w:val="24"/>
          <w:szCs w:val="24"/>
        </w:rPr>
        <w:t xml:space="preserve">is </w:t>
      </w:r>
      <w:r>
        <w:rPr>
          <w:rFonts w:ascii="Times New Roman" w:hAnsi="Times New Roman"/>
          <w:strike/>
          <w:color w:val="C00000"/>
          <w:sz w:val="24"/>
          <w:szCs w:val="24"/>
        </w:rPr>
        <w:t xml:space="preserve">dissolved, and its activities and affairs shall be wound up, upon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first to occur of: (a) the dissolution </w:t>
      </w:r>
      <w:r>
        <w:rPr>
          <w:rFonts w:ascii="Times New Roman" w:hAnsi="Times New Roman"/>
          <w:color w:val="0645AD"/>
          <w:u w:val="single"/>
          <w:sz w:val="24"/>
          <w:szCs w:val="24"/>
        </w:rPr>
        <w:t xml:space="preserve">exclusive benefit </w:t>
      </w:r>
      <w:r>
        <w:rPr>
          <w:rFonts w:ascii="Times New Roman" w:hAnsi="Times New Roman"/>
          <w:sz w:val="24"/>
          <w:szCs w:val="24"/>
        </w:rPr>
        <w:t xml:space="preserve">of the </w:t>
      </w:r>
      <w:r>
        <w:rPr>
          <w:rFonts w:ascii="Times New Roman" w:hAnsi="Times New Roman"/>
          <w:strike/>
          <w:color w:val="C00000"/>
          <w:sz w:val="24"/>
          <w:szCs w:val="24"/>
        </w:rPr>
        <w:t xml:space="preserve">Company; (b) an event </w:t>
      </w:r>
      <w:r>
        <w:rPr>
          <w:rFonts w:ascii="Times New Roman" w:hAnsi="Times New Roman"/>
          <w:color w:val="0645AD"/>
          <w:u w:val="single"/>
          <w:sz w:val="24"/>
          <w:szCs w:val="24"/>
        </w:rPr>
        <w:t xml:space="preserve">parties and confers no rights on any creditor </w:t>
      </w:r>
      <w:r>
        <w:rPr>
          <w:rFonts w:ascii="Times New Roman" w:hAnsi="Times New Roman"/>
          <w:sz w:val="24"/>
          <w:szCs w:val="24"/>
        </w:rPr>
        <w:t xml:space="preserve">or </w:t>
      </w:r>
      <w:r>
        <w:rPr>
          <w:rFonts w:ascii="Times New Roman" w:hAnsi="Times New Roman"/>
          <w:strike/>
          <w:color w:val="C00000"/>
          <w:sz w:val="24"/>
          <w:szCs w:val="24"/>
        </w:rPr>
        <w:t xml:space="preserve">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other third party.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14.3 Dissolution of the Company. </w:t>
      </w:r>
      <w:r>
        <w:rPr>
          <w:rFonts w:ascii="Times New Roman" w:hAnsi="Times New Roman"/>
          <w:color w:val="0645AD"/>
          <w:u w:val="single"/>
          <w:sz w:val="24"/>
          <w:szCs w:val="24"/>
        </w:rPr>
        <w:t xml:space="preserve">14.10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Company is dissolved, </w:t>
      </w:r>
      <w:r>
        <w:rPr>
          <w:rFonts w:ascii="Times New Roman" w:hAnsi="Times New Roman"/>
          <w:color w:val="0645AD"/>
          <w:u w:val="single"/>
          <w:sz w:val="24"/>
          <w:szCs w:val="24"/>
        </w:rPr>
        <w:t xml:space="preserve">Membership 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its activities </w:t>
      </w:r>
      <w:r>
        <w:rPr>
          <w:rFonts w:ascii="Times New Roman" w:hAnsi="Times New Roman"/>
          <w:color w:val="0645AD"/>
          <w:u w:val="single"/>
          <w:sz w:val="24"/>
          <w:szCs w:val="24"/>
        </w:rPr>
        <w:t xml:space="preserve">may not be offered, sold, or transferred except in 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