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151 paragraphs identical · 60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w:t>
      </w:r>
      <w:r>
        <w:rPr>
          <w:rFonts w:ascii="Times New Roman" w:hAnsi="Times New Roman"/>
          <w:color w:val="0645AD"/>
          <w:u w:val="single"/>
          <w:sz w:val="24"/>
          <w:szCs w:val="24"/>
        </w:rPr>
        <w:t xml:space="preserve">managed by </w:t>
      </w:r>
      <w:r>
        <w:rPr>
          <w:rFonts w:ascii="Times New Roman" w:hAnsi="Times New Roman"/>
          <w:sz w:val="24"/>
          <w:szCs w:val="24"/>
        </w:rPr>
        <w:t xml:space="preserve">the </w:t>
      </w:r>
      <w:r>
        <w:rPr>
          <w:rFonts w:ascii="Times New Roman" w:hAnsi="Times New Roman"/>
          <w:strike/>
          <w:color w:val="C00000"/>
          <w:sz w:val="24"/>
          <w:szCs w:val="24"/>
        </w:rPr>
        <w:t xml:space="preserve">Company is a Protected Series Manager of that Protected Series. </w:t>
      </w:r>
      <w:r>
        <w:rPr>
          <w:rFonts w:ascii="Times New Roman" w:hAnsi="Times New Roman"/>
          <w:color w:val="0645AD"/>
          <w:u w:val="single"/>
          <w:sz w:val="24"/>
          <w:szCs w:val="24"/>
        </w:rPr>
        <w:t xml:space="preserve">Members. </w:t>
      </w:r>
      <w:r>
        <w:rPr>
          <w:rFonts w:ascii="Times New Roman" w:hAnsi="Times New Roman"/>
          <w:sz w:val="24"/>
          <w:szCs w:val="24"/>
        </w:rPr>
        <w:t xml:space="preserve">As permitted by s. 605.2107(1)(n), Florida Statutes, this Section varies s. 605.2304(2) so that the </w:t>
      </w:r>
      <w:r>
        <w:rPr>
          <w:rFonts w:ascii="Times New Roman" w:hAnsi="Times New Roman"/>
          <w:strike/>
          <w:color w:val="C00000"/>
          <w:sz w:val="24"/>
          <w:szCs w:val="24"/>
        </w:rPr>
        <w:t xml:space="preserve">Protected Series Managers are the Manager or Managers of the Company </w:t>
      </w:r>
      <w:r>
        <w:rPr>
          <w:rFonts w:ascii="Times New Roman" w:hAnsi="Times New Roman"/>
          <w:color w:val="0645AD"/>
          <w:u w:val="single"/>
          <w:sz w:val="24"/>
          <w:szCs w:val="24"/>
        </w:rPr>
        <w:t xml:space="preserve">Members, </w:t>
      </w:r>
      <w:r>
        <w:rPr>
          <w:rFonts w:ascii="Times New Roman" w:hAnsi="Times New Roman"/>
          <w:sz w:val="24"/>
          <w:szCs w:val="24"/>
        </w:rPr>
        <w:t xml:space="preserve">rather than the </w:t>
      </w:r>
      <w:r>
        <w:rPr>
          <w:rFonts w:ascii="Times New Roman" w:hAnsi="Times New Roman"/>
          <w:strike/>
          <w:color w:val="C00000"/>
          <w:sz w:val="24"/>
          <w:szCs w:val="24"/>
        </w:rPr>
        <w:t xml:space="preserve">Company itself. A </w:t>
      </w:r>
      <w:r>
        <w:rPr>
          <w:rFonts w:ascii="Times New Roman" w:hAnsi="Times New Roman"/>
          <w:color w:val="0645AD"/>
          <w:u w:val="single"/>
          <w:sz w:val="24"/>
          <w:szCs w:val="24"/>
        </w:rPr>
        <w:t xml:space="preserve">Company, are the protected-series managers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t>
      </w:r>
      <w:r>
        <w:rPr>
          <w:rFonts w:ascii="Times New Roman" w:hAnsi="Times New Roman"/>
          <w:color w:val="0645AD"/>
          <w:u w:val="single"/>
          <w:sz w:val="24"/>
          <w:szCs w:val="24"/>
        </w:rPr>
        <w:t xml:space="preserve">Series. Every decision </w:t>
      </w:r>
      <w:r>
        <w:rPr>
          <w:rFonts w:ascii="Times New Roman" w:hAnsi="Times New Roman"/>
          <w:sz w:val="24"/>
          <w:szCs w:val="24"/>
        </w:rPr>
        <w:t xml:space="preserve">with respect to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 Protected Series is made by a Majority in Interest of the Members as provided in Section 5.3, and the Administrative Member performs for each Protected Series the ministerial functions described in Section 5.8. The Members have, with respect to each </w:t>
      </w:r>
      <w:r>
        <w:rPr>
          <w:rFonts w:ascii="Times New Roman" w:hAnsi="Times New Roman"/>
          <w:sz w:val="24"/>
          <w:szCs w:val="24"/>
        </w:rPr>
        <w:t xml:space="preserve">Protected Series, the rights, powers, and duties </w:t>
      </w:r>
      <w:r>
        <w:rPr>
          <w:rFonts w:ascii="Times New Roman" w:hAnsi="Times New Roman"/>
          <w:strike/>
          <w:color w:val="C00000"/>
          <w:sz w:val="24"/>
          <w:szCs w:val="24"/>
        </w:rPr>
        <w:t xml:space="preserve">that a manager </w:t>
      </w:r>
      <w:r>
        <w:rPr>
          <w:rFonts w:ascii="Times New Roman" w:hAnsi="Times New Roman"/>
          <w:sz w:val="24"/>
          <w:szCs w:val="24"/>
        </w:rPr>
        <w:t xml:space="preserve">of </w:t>
      </w:r>
      <w:r>
        <w:rPr>
          <w:rFonts w:ascii="Times New Roman" w:hAnsi="Times New Roman"/>
          <w:strike/>
          <w:color w:val="C00000"/>
          <w:sz w:val="24"/>
          <w:szCs w:val="24"/>
        </w:rPr>
        <w:t xml:space="preserve">a manager-managed limited liability company has </w:t>
      </w:r>
      <w:r>
        <w:rPr>
          <w:rFonts w:ascii="Times New Roman" w:hAnsi="Times New Roman"/>
          <w:color w:val="0645AD"/>
          <w:u w:val="single"/>
          <w:sz w:val="24"/>
          <w:szCs w:val="24"/>
        </w:rPr>
        <w:t xml:space="preserve">protected-series managers </w:t>
      </w:r>
      <w:r>
        <w:rPr>
          <w:rFonts w:ascii="Times New Roman" w:hAnsi="Times New Roman"/>
          <w:sz w:val="24"/>
          <w:szCs w:val="24"/>
        </w:rPr>
        <w:t xml:space="preserve">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Members,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managers (s. 605.2304, Fla. Stat., as varied by Section 5.2 of the Agreement), acting by a Majority in Interest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