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bankruptcy, or deadlock articles,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Every form except the single-owner member-managed one asks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(Section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