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widowControl/>
        <w:spacing w:after="160"/>
        <w:jc w:val="both"/>
      </w:pPr>
      <w:r>
        <w:rPr>
          <w:rFonts w:ascii="Times New Roman" w:hAnsi="Times New Roman"/>
          <w:b/>
          <w:sz w:val="24"/>
          <w:szCs w:val="24"/>
        </w:rPr>
        <w:t xml:space="preserve">5.11 Conflict of Interest Transactions.</w:t>
      </w:r>
      <w:r>
        <w:rPr>
          <w:rFonts w:ascii="Times New Roman" w:hAnsi="Times New Roman"/>
          <w:sz w:val="24"/>
          <w:szCs w:val="24"/>
        </w:rPr>
        <w:t xml:space="preserve"> No Member shall cause the Company or any Protected Series to enter into a transaction in which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5.5(g), and compensation approved under Section 5.10, satisfy this Section.</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