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widowControl/>
        <w:spacing w:after="160"/>
        <w:jc w:val="both"/>
      </w:pPr>
      <w:r>
        <w:rPr>
          <w:rFonts w:ascii="Times New Roman" w:hAnsi="Times New Roman"/>
          <w:b/>
          <w:sz w:val="24"/>
          <w:szCs w:val="24"/>
        </w:rPr>
        <w:t xml:space="preserve">5.11 Conflict of Interest Transactions.</w:t>
      </w:r>
      <w:r>
        <w:rPr>
          <w:rFonts w:ascii="Times New Roman" w:hAnsi="Times New Roman"/>
          <w:sz w:val="24"/>
          <w:szCs w:val="24"/>
        </w:rPr>
        <w:t xml:space="preserve"> No Member shall cause the Company or any Protected Series to enter into a transaction in which a Member is directly or indirectly a party, or has a direct or indirect material financial interest or other material interest (each within the meaning of s. 605.04092, Florida Statutes), unless the material facts of the transaction and 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Section 5.5(g), and compensation approved under Section 5.10, satisfy this Section.</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