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202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&lt;!-- one:manager --&gt;The initial Manager is [MANAGER NAMES].&lt;!-- /one --&gt;&lt;!-- many:manager --&gt;The initial Managers are [MANAGER NAMES].&lt;!-- /many --&gt;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5.10 Conflict of Interest Transactions. Neither the Manager nor any Member shall cause the Company or any Protected Series to enter into a transaction in which the Manager or a Member is directly or indirectly a party, or has a direct or indirect material financial interest or other material interest (each within the meaning of s. 605.04092, Florida Statutes), unless the material facts of the transaction and of the interest have been disclosed or are known to the Members and the transaction is authorized, approved, or ratified by a Majority in Interest of the disinterested Members. A transaction so authorized, approved, or ratified is not void or voidable because of that relationship or interest, and a person challenging it bears the burden of proving its lack of fairness, as provided in s. 605.04092(2) and (4), Florida Statutes. A loan approved under Section 5.4(g), and compensation approved under Section 5.7, satisfy this Section.</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