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151 paragraphs identical · 61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w:t>
      </w:r>
      <w:r>
        <w:rPr>
          <w:rFonts w:ascii="Times New Roman" w:hAnsi="Times New Roman"/>
          <w:color w:val="0645AD"/>
          <w:u w:val="single"/>
          <w:sz w:val="24"/>
          <w:szCs w:val="24"/>
        </w:rPr>
        <w:t xml:space="preserve">5.11 Conflict </w:t>
      </w:r>
      <w:r>
        <w:rPr>
          <w:rFonts w:ascii="Times New Roman" w:hAnsi="Times New Roman"/>
          <w:sz w:val="24"/>
          <w:szCs w:val="24"/>
        </w:rPr>
        <w:t xml:space="preserve">of </w:t>
      </w:r>
      <w:r>
        <w:rPr>
          <w:rFonts w:ascii="Times New Roman" w:hAnsi="Times New Roman"/>
          <w:strike/>
          <w:color w:val="C00000"/>
          <w:sz w:val="24"/>
          <w:szCs w:val="24"/>
        </w:rPr>
        <w:t xml:space="preserve">the Company, the Manager </w:t>
      </w:r>
      <w:r>
        <w:rPr>
          <w:rFonts w:ascii="Times New Roman" w:hAnsi="Times New Roman"/>
          <w:color w:val="0645AD"/>
          <w:u w:val="single"/>
          <w:sz w:val="24"/>
          <w:szCs w:val="24"/>
        </w:rPr>
        <w:t xml:space="preserve">Interest Transactions. No Member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cause </w:t>
      </w:r>
      <w:r>
        <w:rPr>
          <w:rFonts w:ascii="Times New Roman" w:hAnsi="Times New Roman"/>
          <w:sz w:val="24"/>
          <w:szCs w:val="24"/>
        </w:rPr>
        <w:t xml:space="preserve">the Company or </w:t>
      </w:r>
      <w:r>
        <w:rPr>
          <w:rFonts w:ascii="Times New Roman" w:hAnsi="Times New Roman"/>
          <w:strike/>
          <w:color w:val="C00000"/>
          <w:sz w:val="24"/>
          <w:szCs w:val="24"/>
        </w:rPr>
        <w:t xml:space="preserve">with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to enter into a transaction </w:t>
      </w:r>
      <w:r>
        <w:rPr>
          <w:rFonts w:ascii="Times New Roman" w:hAnsi="Times New Roman"/>
          <w:sz w:val="24"/>
          <w:szCs w:val="24"/>
        </w:rPr>
        <w:t xml:space="preserve">in </w:t>
      </w:r>
      <w:r>
        <w:rPr>
          <w:rFonts w:ascii="Times New Roman" w:hAnsi="Times New Roman"/>
          <w:color w:val="0645AD"/>
          <w:u w:val="single"/>
          <w:sz w:val="24"/>
          <w:szCs w:val="24"/>
        </w:rPr>
        <w:t xml:space="preserve">which a Member is directly or indirectly a party, or has a direct or indirect material financial interest or other material interest (each within </w:t>
      </w:r>
      <w:r>
        <w:rPr>
          <w:rFonts w:ascii="Times New Roman" w:hAnsi="Times New Roman"/>
          <w:sz w:val="24"/>
          <w:szCs w:val="24"/>
        </w:rPr>
        <w:t xml:space="preserve">the </w:t>
      </w:r>
      <w:r>
        <w:rPr>
          <w:rFonts w:ascii="Times New Roman" w:hAnsi="Times New Roman"/>
          <w:strike/>
          <w:color w:val="C00000"/>
          <w:sz w:val="24"/>
          <w:szCs w:val="24"/>
        </w:rPr>
        <w:t xml:space="preserve">conduct </w:t>
      </w:r>
      <w:r>
        <w:rPr>
          <w:rFonts w:ascii="Times New Roman" w:hAnsi="Times New Roman"/>
          <w:color w:val="0645AD"/>
          <w:u w:val="single"/>
          <w:sz w:val="24"/>
          <w:szCs w:val="24"/>
        </w:rPr>
        <w:t xml:space="preserve">meaning </w:t>
      </w:r>
      <w:r>
        <w:rPr>
          <w:rFonts w:ascii="Times New Roman" w:hAnsi="Times New Roman"/>
          <w:sz w:val="24"/>
          <w:szCs w:val="24"/>
        </w:rPr>
        <w:t xml:space="preserve">of </w:t>
      </w:r>
      <w:r>
        <w:rPr>
          <w:rFonts w:ascii="Times New Roman" w:hAnsi="Times New Roman"/>
          <w:strike/>
          <w:color w:val="C00000"/>
          <w:sz w:val="24"/>
          <w:szCs w:val="24"/>
        </w:rPr>
        <w:t xml:space="preserve">their activities </w:t>
      </w:r>
      <w:r>
        <w:rPr>
          <w:rFonts w:ascii="Times New Roman" w:hAnsi="Times New Roman"/>
          <w:color w:val="0645AD"/>
          <w:u w:val="single"/>
          <w:sz w:val="24"/>
          <w:szCs w:val="24"/>
        </w:rPr>
        <w:t xml:space="preserve">s. 605.04092, Florida Statutes), unless the material facts of the transaction </w:t>
      </w:r>
      <w:r>
        <w:rPr>
          <w:rFonts w:ascii="Times New Roman" w:hAnsi="Times New Roman"/>
          <w:sz w:val="24"/>
          <w:szCs w:val="24"/>
        </w:rPr>
        <w:t xml:space="preserve">and </w:t>
      </w:r>
      <w:r>
        <w:rPr>
          <w:rFonts w:ascii="Times New Roman" w:hAnsi="Times New Roman"/>
          <w:strike/>
          <w:color w:val="C00000"/>
          <w:sz w:val="24"/>
          <w:szCs w:val="24"/>
        </w:rPr>
        <w:t xml:space="preserve">affairs. This </w:t>
      </w:r>
      <w:r>
        <w:rPr>
          <w:rFonts w:ascii="Times New Roman" w:hAnsi="Times New Roman"/>
          <w:color w:val="0645AD"/>
          <w:u w:val="single"/>
          <w:sz w:val="24"/>
          <w:szCs w:val="24"/>
        </w:rPr>
        <w:t xml:space="preserve">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w:t>
      </w:r>
      <w:r>
        <w:rPr>
          <w:rFonts w:ascii="Times New Roman" w:hAnsi="Times New Roman"/>
          <w:sz w:val="24"/>
          <w:szCs w:val="24"/>
        </w:rPr>
        <w:t xml:space="preserve">Section </w:t>
      </w:r>
      <w:r>
        <w:rPr>
          <w:rFonts w:ascii="Times New Roman" w:hAnsi="Times New Roman"/>
          <w:strike/>
          <w:color w:val="C00000"/>
          <w:sz w:val="24"/>
          <w:szCs w:val="24"/>
        </w:rPr>
        <w:t xml:space="preserve">does not prohibit the Manager from engaging in any business or venture that does not so compete, </w:t>
      </w:r>
      <w:r>
        <w:rPr>
          <w:rFonts w:ascii="Times New Roman" w:hAnsi="Times New Roman"/>
          <w:color w:val="0645AD"/>
          <w:u w:val="single"/>
          <w:sz w:val="24"/>
          <w:szCs w:val="24"/>
        </w:rPr>
        <w:t xml:space="preserve">5.5(g), </w:t>
      </w:r>
      <w:r>
        <w:rPr>
          <w:rFonts w:ascii="Times New Roman" w:hAnsi="Times New Roman"/>
          <w:sz w:val="24"/>
          <w:szCs w:val="24"/>
        </w:rPr>
        <w:t xml:space="preserve">and </w:t>
      </w:r>
      <w:r>
        <w:rPr>
          <w:rFonts w:ascii="Times New Roman" w:hAnsi="Times New Roman"/>
          <w:strike/>
          <w:color w:val="C00000"/>
          <w:sz w:val="24"/>
          <w:szCs w:val="24"/>
        </w:rPr>
        <w:t xml:space="preserve">neither the Company, any Protected Series, nor any Member shall have any right in such a venture or its income by virtue of </w:t>
      </w:r>
      <w:r>
        <w:rPr>
          <w:rFonts w:ascii="Times New Roman" w:hAnsi="Times New Roman"/>
          <w:color w:val="0645AD"/>
          <w:u w:val="single"/>
          <w:sz w:val="24"/>
          <w:szCs w:val="24"/>
        </w:rPr>
        <w:t xml:space="preserve">compensation approved under Section 5.10, satisfy </w:t>
      </w:r>
      <w:r>
        <w:rPr>
          <w:rFonts w:ascii="Times New Roman" w:hAnsi="Times New Roman"/>
          <w:sz w:val="24"/>
          <w:szCs w:val="24"/>
        </w:rPr>
        <w:t xml:space="preserve">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Section. </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5.10 Conflict of Interest Transactions. Neither the Manager nor any Member shall cause the Company or any Protected Series to enter into a transaction in which the Manager or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5.4(g), and compensation approved under Section 5.7, satisfy this Section.</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