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widowControl/>
        <w:spacing w:before="2400" w:after="120"/>
        <w:jc w:val="center"/>
      </w:pPr>
      <w:r>
        <w:rPr>
          <w:rFonts w:ascii="Georgia" w:hAnsi="Georgia"/>
          <w:sz w:val="22"/>
        </w:rPr>
      </w:r>
    </w:p>
    <w:p>
      <w:pPr>
        <w:keepNext/>
        <w:widowControl/>
        <w:spacing w:before="0" w:after="0"/>
        <w:jc w:val="center"/>
      </w:pPr>
      <w:r>
        <w:rPr>
          <w:rFonts w:ascii="Georgia" w:hAnsi="Georgia"/>
          <w:b/>
          <w:i/>
          <w:color w:val="0D2E55"/>
          <w:sz w:val="60"/>
          <w:szCs w:val="60"/>
        </w:rPr>
        <w:t xml:space="preserve">THE FLORIDA SERIES LLC</w:t>
      </w:r>
    </w:p>
    <w:p>
      <w:pPr>
        <w:keepNext/>
        <w:widowControl/>
        <w:spacing w:before="0" w:after="360"/>
        <w:jc w:val="center"/>
      </w:pPr>
      <w:r>
        <w:rPr>
          <w:rFonts w:ascii="Georgia" w:hAnsi="Georgia"/>
          <w:b/>
          <w:i/>
          <w:color w:val="0D2E55"/>
          <w:sz w:val="60"/>
          <w:szCs w:val="60"/>
        </w:rPr>
        <w:t xml:space="preserve">OWNER'S MANUAL</w:t>
      </w:r>
    </w:p>
    <w:p>
      <w:pPr>
        <w:keepNext/>
        <w:widowControl/>
        <w:spacing w:before="0" w:after="0"/>
        <w:jc w:val="center"/>
      </w:pPr>
      <w:r>
        <w:rPr>
          <w:rFonts w:ascii="Georgia" w:hAnsi="Georgia"/>
          <w:b/>
          <w:i/>
          <w:sz w:val="26"/>
          <w:szCs w:val="26"/>
        </w:rPr>
        <w:t xml:space="preserve">A Plain-English Guide to Understanding, Operating, and</w:t>
      </w:r>
    </w:p>
    <w:p>
      <w:pPr>
        <w:keepNext/>
        <w:widowControl/>
        <w:spacing w:before="0" w:after="1200"/>
        <w:jc w:val="center"/>
      </w:pPr>
      <w:r>
        <w:rPr>
          <w:rFonts w:ascii="Georgia" w:hAnsi="Georgia"/>
          <w:b/>
          <w:i/>
          <w:sz w:val="26"/>
          <w:szCs w:val="26"/>
        </w:rPr>
        <w:t xml:space="preserve">Protecting Your Florida Protected Series LLC</w:t>
      </w:r>
    </w:p>
    <w:p>
      <w:pPr>
        <w:keepNext/>
        <w:widowControl/>
        <w:spacing w:before="0" w:after="40"/>
        <w:jc w:val="center"/>
      </w:pPr>
      <w:r>
        <w:rPr>
          <w:rFonts w:ascii="Georgia" w:hAnsi="Georgia"/>
          <w:b/>
          <w:i/>
          <w:color w:val="0D2E55"/>
          <w:sz w:val="32"/>
          <w:szCs w:val="32"/>
        </w:rPr>
        <w:t xml:space="preserve">MyFloridaSeriesLLC</w:t>
      </w:r>
    </w:p>
    <w:p>
      <w:pPr>
        <w:keepNext/>
        <w:widowControl/>
        <w:spacing w:before="0" w:after="800"/>
        <w:jc w:val="center"/>
      </w:pPr>
      <w:r>
        <w:rPr>
          <w:rFonts w:ascii="Georgia" w:hAnsi="Georgia"/>
          <w:b/>
          <w:i/>
          <w:sz w:val="20"/>
          <w:szCs w:val="20"/>
        </w:rPr>
        <w:t xml:space="preserve">A service of FLORIDA PROTECTED SERIES, LLC - PS 1</w:t>
      </w:r>
    </w:p>
    <w:p>
      <w:pPr>
        <w:keepNext/>
        <w:widowControl/>
        <w:spacing w:before="0" w:after="40"/>
        <w:jc w:val="center"/>
      </w:pPr>
      <w:r>
        <w:rPr>
          <w:rFonts w:ascii="Georgia" w:hAnsi="Georgia"/>
          <w:b/>
          <w:i/>
          <w:sz w:val="22"/>
          <w:szCs w:val="22"/>
        </w:rPr>
        <w:t xml:space="preserve">First Edition — August 2026</w:t>
      </w:r>
    </w:p>
    <w:p>
      <w:pPr>
        <w:keepNext/>
        <w:widowControl/>
        <w:spacing w:before="0" w:after="0"/>
        <w:jc w:val="center"/>
      </w:pPr>
      <w:r>
        <w:rPr>
          <w:rFonts w:ascii="Georgia" w:hAnsi="Georgia"/>
          <w:b/>
          <w:i/>
          <w:sz w:val="20"/>
          <w:szCs w:val="20"/>
        </w:rPr>
        <w:t xml:space="preserve">Written for the Florida Uniform Protected Series Act</w:t>
      </w:r>
    </w:p>
    <w:p>
      <w:pPr>
        <w:keepNext/>
        <w:widowControl/>
        <w:spacing w:before="0" w:after="120"/>
        <w:jc w:val="center"/>
      </w:pPr>
      <w:r>
        <w:rPr>
          <w:rFonts w:ascii="Georgia" w:hAnsi="Georgia"/>
          <w:b/>
          <w:i/>
          <w:sz w:val="20"/>
          <w:szCs w:val="20"/>
        </w:rPr>
        <w:t xml:space="preserve">ss. 605.2101–605.2802, Florida Statutes (effective July 1, 2026)</w:t>
      </w:r>
    </w:p>
    <w:p>
      <w:pPr>
        <w:pageBreakBefore/>
        <w:keepNext/>
        <w:widowControl/>
        <w:spacing w:after="240"/>
      </w:pPr>
      <w:r>
        <w:rPr>
          <w:rFonts w:ascii="Georgia" w:hAnsi="Georgia"/>
          <w:b/>
          <w:color w:val="0D2E55"/>
          <w:sz w:val="32"/>
          <w:szCs w:val="32"/>
        </w:rPr>
        <w:t xml:space="preserve">CONTENTS</w:t>
      </w:r>
    </w:p>
    <w:p>
      <w:pPr>
        <w:keepNext/>
        <w:widowControl/>
        <w:spacing w:before="160" w:after="80"/>
      </w:pPr>
      <w:r>
        <w:rPr>
          <w:rFonts w:ascii="Georgia" w:hAnsi="Georgia"/>
          <w:b/>
          <w:color w:val="0D2E55"/>
          <w:sz w:val="22"/>
          <w:szCs w:val="22"/>
        </w:rPr>
        <w:t xml:space="preserve">HOW TO USE THIS MANUAL</w:t>
      </w:r>
    </w:p>
    <w:p>
      <w:pPr>
        <w:keepNext/>
        <w:widowControl/>
        <w:spacing w:before="160" w:after="80"/>
      </w:pPr>
      <w:r>
        <w:rPr>
          <w:rFonts w:ascii="Georgia" w:hAnsi="Georgia"/>
          <w:b/>
          <w:color w:val="0D2E55"/>
          <w:sz w:val="22"/>
          <w:szCs w:val="22"/>
        </w:rPr>
        <w:t xml:space="preserve">PART ONE — HOW THE PROTECTION WORKS</w:t>
      </w:r>
    </w:p>
    <w:p>
      <w:pPr>
        <w:widowControl/>
        <w:spacing w:before="0" w:after="40"/>
        <w:ind w:left="432"/>
      </w:pPr>
      <w:r>
        <w:rPr>
          <w:rFonts w:ascii="Georgia" w:hAnsi="Georgia"/>
          <w:b/>
          <w:sz w:val="20"/>
          <w:szCs w:val="20"/>
        </w:rPr>
        <w:t xml:space="preserve">1. WHAT IS A FLORIDA PROTECTED SERIES LLC?</w:t>
      </w:r>
    </w:p>
    <w:p>
      <w:pPr>
        <w:widowControl/>
        <w:spacing w:before="0" w:after="40"/>
        <w:ind w:left="432"/>
      </w:pPr>
      <w:r>
        <w:rPr>
          <w:rFonts w:ascii="Georgia" w:hAnsi="Georgia"/>
          <w:b/>
          <w:sz w:val="20"/>
          <w:szCs w:val="20"/>
        </w:rPr>
        <w:t xml:space="preserve">2. THE TWO LIABILITY SHIELDS</w:t>
      </w:r>
    </w:p>
    <w:p>
      <w:pPr>
        <w:widowControl/>
        <w:spacing w:before="0" w:after="40"/>
        <w:ind w:left="432"/>
      </w:pPr>
      <w:r>
        <w:rPr>
          <w:rFonts w:ascii="Georgia" w:hAnsi="Georgia"/>
          <w:b/>
          <w:sz w:val="20"/>
          <w:szCs w:val="20"/>
        </w:rPr>
        <w:t xml:space="preserve">3. "ASSOCIATED ASSETS" — THE RULE THAT DECIDES EVERYTHING</w:t>
      </w:r>
    </w:p>
    <w:p>
      <w:pPr>
        <w:widowControl/>
        <w:spacing w:before="0" w:after="40"/>
        <w:ind w:left="432"/>
      </w:pPr>
      <w:r>
        <w:rPr>
          <w:rFonts w:ascii="Georgia" w:hAnsi="Georgia"/>
          <w:b/>
          <w:sz w:val="20"/>
          <w:szCs w:val="20"/>
        </w:rPr>
        <w:t xml:space="preserve">4. WHY USE A SERIES LLC — AND WHEN NOT TO</w:t>
      </w:r>
    </w:p>
    <w:p>
      <w:pPr>
        <w:widowControl/>
        <w:spacing w:before="0" w:after="40"/>
        <w:ind w:left="432"/>
      </w:pPr>
      <w:r>
        <w:rPr>
          <w:rFonts w:ascii="Georgia" w:hAnsi="Georgia"/>
          <w:b/>
          <w:sz w:val="20"/>
          <w:szCs w:val="20"/>
        </w:rPr>
        <w:t xml:space="preserve">5. THE VOCABULARY — THIRTEEN TERMS THAT DO REAL WORK</w:t>
      </w:r>
    </w:p>
    <w:p>
      <w:pPr>
        <w:keepNext/>
        <w:widowControl/>
        <w:spacing w:before="160" w:after="80"/>
      </w:pPr>
      <w:r>
        <w:rPr>
          <w:rFonts w:ascii="Georgia" w:hAnsi="Georgia"/>
          <w:b/>
          <w:color w:val="0D2E55"/>
          <w:sz w:val="22"/>
          <w:szCs w:val="22"/>
        </w:rPr>
        <w:t xml:space="preserve">PART TWO — FORMATION AND STRUCTURE</w:t>
      </w:r>
    </w:p>
    <w:p>
      <w:pPr>
        <w:widowControl/>
        <w:spacing w:before="0" w:after="40"/>
        <w:ind w:left="432"/>
      </w:pPr>
      <w:r>
        <w:rPr>
          <w:rFonts w:ascii="Georgia" w:hAnsi="Georgia"/>
          <w:b/>
          <w:sz w:val="20"/>
          <w:szCs w:val="20"/>
        </w:rPr>
        <w:t xml:space="preserve">6. HOW A FLORIDA PROTECTED SERIES LLC IS FORMED</w:t>
      </w:r>
    </w:p>
    <w:p>
      <w:pPr>
        <w:widowControl/>
        <w:spacing w:before="0" w:after="40"/>
        <w:ind w:left="432"/>
      </w:pPr>
      <w:r>
        <w:rPr>
          <w:rFonts w:ascii="Georgia" w:hAnsi="Georgia"/>
          <w:b/>
          <w:sz w:val="20"/>
          <w:szCs w:val="20"/>
        </w:rPr>
        <w:t xml:space="preserve">7. YOUR OPERATING AGREEMENT — A GUIDED TOUR</w:t>
      </w:r>
    </w:p>
    <w:p>
      <w:pPr>
        <w:widowControl/>
        <w:spacing w:before="0" w:after="40"/>
        <w:ind w:left="432"/>
      </w:pPr>
      <w:r>
        <w:rPr>
          <w:rFonts w:ascii="Georgia" w:hAnsi="Georgia"/>
          <w:b/>
          <w:sz w:val="20"/>
          <w:szCs w:val="20"/>
        </w:rPr>
        <w:t xml:space="preserve">8. THE MOTHERSHIP STRATEGY — KEEP THE PARENT POOR</w:t>
      </w:r>
    </w:p>
    <w:p>
      <w:pPr>
        <w:keepNext/>
        <w:widowControl/>
        <w:spacing w:before="160" w:after="80"/>
      </w:pPr>
      <w:r>
        <w:rPr>
          <w:rFonts w:ascii="Georgia" w:hAnsi="Georgia"/>
          <w:b/>
          <w:color w:val="0D2E55"/>
          <w:sz w:val="22"/>
          <w:szCs w:val="22"/>
        </w:rPr>
        <w:t xml:space="preserve">PART THREE — OPERATING THE STRUCTURE</w:t>
      </w:r>
    </w:p>
    <w:p>
      <w:pPr>
        <w:widowControl/>
        <w:spacing w:before="0" w:after="40"/>
        <w:ind w:left="432"/>
      </w:pPr>
      <w:r>
        <w:rPr>
          <w:rFonts w:ascii="Georgia" w:hAnsi="Georgia"/>
          <w:b/>
          <w:sz w:val="20"/>
          <w:szCs w:val="20"/>
        </w:rPr>
        <w:t xml:space="preserve">9. TITLING ASSETS CORRECTLY</w:t>
      </w:r>
    </w:p>
    <w:p>
      <w:pPr>
        <w:widowControl/>
        <w:spacing w:before="0" w:after="40"/>
        <w:ind w:left="432"/>
      </w:pPr>
      <w:r>
        <w:rPr>
          <w:rFonts w:ascii="Georgia" w:hAnsi="Georgia"/>
          <w:b/>
          <w:sz w:val="20"/>
          <w:szCs w:val="20"/>
        </w:rPr>
        <w:t xml:space="preserve">10. PUTTING ASSETS IN — AND WHY THEY STAY THERE</w:t>
      </w:r>
    </w:p>
    <w:p>
      <w:pPr>
        <w:widowControl/>
        <w:spacing w:before="0" w:after="40"/>
        <w:ind w:left="432"/>
      </w:pPr>
      <w:r>
        <w:rPr>
          <w:rFonts w:ascii="Georgia" w:hAnsi="Georgia"/>
          <w:b/>
          <w:sz w:val="20"/>
          <w:szCs w:val="20"/>
        </w:rPr>
        <w:t xml:space="preserve">11. REAL ESTATE — THE EXPENSIVE-MISTAKES CHAPTER</w:t>
      </w:r>
    </w:p>
    <w:p>
      <w:pPr>
        <w:widowControl/>
        <w:spacing w:before="0" w:after="40"/>
        <w:ind w:left="432"/>
      </w:pPr>
      <w:r>
        <w:rPr>
          <w:rFonts w:ascii="Georgia" w:hAnsi="Georgia"/>
          <w:b/>
          <w:sz w:val="20"/>
          <w:szCs w:val="20"/>
        </w:rPr>
        <w:t xml:space="preserve">12. BANK ACCOUNTS</w:t>
      </w:r>
    </w:p>
    <w:p>
      <w:pPr>
        <w:widowControl/>
        <w:spacing w:before="0" w:after="40"/>
        <w:ind w:left="432"/>
      </w:pPr>
      <w:r>
        <w:rPr>
          <w:rFonts w:ascii="Georgia" w:hAnsi="Georgia"/>
          <w:b/>
          <w:sz w:val="20"/>
          <w:szCs w:val="20"/>
        </w:rPr>
        <w:t xml:space="preserve">13. CONTRACTS, LEASES, AND SIGNATURE BLOCKS</w:t>
      </w:r>
    </w:p>
    <w:p>
      <w:pPr>
        <w:widowControl/>
        <w:spacing w:before="0" w:after="40"/>
        <w:ind w:left="432"/>
      </w:pPr>
      <w:r>
        <w:rPr>
          <w:rFonts w:ascii="Georgia" w:hAnsi="Georgia"/>
          <w:b/>
          <w:sz w:val="20"/>
          <w:szCs w:val="20"/>
        </w:rPr>
        <w:t xml:space="preserve">14. THE RECORDKEEPING SYSTEM — YOUR ARTICLE 8 FIELD GUIDE</w:t>
      </w:r>
    </w:p>
    <w:p>
      <w:pPr>
        <w:widowControl/>
        <w:spacing w:before="0" w:after="40"/>
        <w:ind w:left="432"/>
      </w:pPr>
      <w:r>
        <w:rPr>
          <w:rFonts w:ascii="Georgia" w:hAnsi="Georgia"/>
          <w:b/>
          <w:sz w:val="20"/>
          <w:szCs w:val="20"/>
        </w:rPr>
        <w:t xml:space="preserve">15. INSURANCE — THE FIRST LINE, NOT THE BACKUP</w:t>
      </w:r>
    </w:p>
    <w:p>
      <w:pPr>
        <w:keepNext/>
        <w:widowControl/>
        <w:spacing w:before="160" w:after="80"/>
      </w:pPr>
      <w:r>
        <w:rPr>
          <w:rFonts w:ascii="Georgia" w:hAnsi="Georgia"/>
          <w:b/>
          <w:color w:val="0D2E55"/>
          <w:sz w:val="22"/>
          <w:szCs w:val="22"/>
        </w:rPr>
        <w:t xml:space="preserve">PART FOUR — TAXES</w:t>
      </w:r>
    </w:p>
    <w:p>
      <w:pPr>
        <w:widowControl/>
        <w:spacing w:before="0" w:after="40"/>
        <w:ind w:left="432"/>
      </w:pPr>
      <w:r>
        <w:rPr>
          <w:rFonts w:ascii="Georgia" w:hAnsi="Georgia"/>
          <w:b/>
          <w:sz w:val="20"/>
          <w:szCs w:val="20"/>
        </w:rPr>
        <w:t xml:space="preserve">16. THE BASICS — THERE IS NO SUCH THING AS "LLC TAXATION"</w:t>
      </w:r>
    </w:p>
    <w:p>
      <w:pPr>
        <w:widowControl/>
        <w:spacing w:before="0" w:after="40"/>
        <w:ind w:left="432"/>
      </w:pPr>
      <w:r>
        <w:rPr>
          <w:rFonts w:ascii="Georgia" w:hAnsi="Georgia"/>
          <w:b/>
          <w:sz w:val="20"/>
          <w:szCs w:val="20"/>
        </w:rPr>
        <w:t xml:space="preserve">17. HOW A SERIES IS TAXED — AND WHY WHO OWNS IT DECIDES EVERYTHING</w:t>
      </w:r>
    </w:p>
    <w:p>
      <w:pPr>
        <w:widowControl/>
        <w:spacing w:before="0" w:after="40"/>
        <w:ind w:left="432"/>
      </w:pPr>
      <w:r>
        <w:rPr>
          <w:rFonts w:ascii="Georgia" w:hAnsi="Georgia"/>
          <w:b/>
          <w:sz w:val="20"/>
          <w:szCs w:val="20"/>
        </w:rPr>
        <w:t xml:space="preserve">18. WHY YOUR SERIES ARE OWNED BY THE COMPANY</w:t>
      </w:r>
    </w:p>
    <w:p>
      <w:pPr>
        <w:keepNext/>
        <w:widowControl/>
        <w:spacing w:before="160" w:after="80"/>
      </w:pPr>
      <w:r>
        <w:rPr>
          <w:rFonts w:ascii="Georgia" w:hAnsi="Georgia"/>
          <w:b/>
          <w:color w:val="0D2E55"/>
          <w:sz w:val="22"/>
          <w:szCs w:val="22"/>
        </w:rPr>
        <w:t xml:space="preserve">PART FIVE — COMPLIANCE AND CREDITOR PROTECTION</w:t>
      </w:r>
    </w:p>
    <w:p>
      <w:pPr>
        <w:widowControl/>
        <w:spacing w:before="0" w:after="40"/>
        <w:ind w:left="432"/>
      </w:pPr>
      <w:r>
        <w:rPr>
          <w:rFonts w:ascii="Georgia" w:hAnsi="Georgia"/>
          <w:b/>
          <w:sz w:val="20"/>
          <w:szCs w:val="20"/>
        </w:rPr>
        <w:t xml:space="preserve">19. STATE FILINGS, YEAR AFTER YEAR</w:t>
      </w:r>
    </w:p>
    <w:p>
      <w:pPr>
        <w:widowControl/>
        <w:spacing w:before="0" w:after="40"/>
        <w:ind w:left="432"/>
      </w:pPr>
      <w:r>
        <w:rPr>
          <w:rFonts w:ascii="Georgia" w:hAnsi="Georgia"/>
          <w:b/>
          <w:sz w:val="20"/>
          <w:szCs w:val="20"/>
        </w:rPr>
        <w:t xml:space="preserve">20. FEDERAL BENEFICIAL OWNERSHIP REPORTING — CURRENTLY: EXEMPT</w:t>
      </w:r>
    </w:p>
    <w:p>
      <w:pPr>
        <w:widowControl/>
        <w:spacing w:before="0" w:after="40"/>
        <w:ind w:left="432"/>
      </w:pPr>
      <w:r>
        <w:rPr>
          <w:rFonts w:ascii="Georgia" w:hAnsi="Georgia"/>
          <w:b/>
          <w:sz w:val="20"/>
          <w:szCs w:val="20"/>
        </w:rPr>
        <w:t xml:space="preserve">21. HOW OWNERS DESTROY THE SHIELDS (VEIL PIERCING AND WORSE)</w:t>
      </w:r>
    </w:p>
    <w:p>
      <w:pPr>
        <w:widowControl/>
        <w:spacing w:before="0" w:after="40"/>
        <w:ind w:left="432"/>
      </w:pPr>
      <w:r>
        <w:rPr>
          <w:rFonts w:ascii="Georgia" w:hAnsi="Georgia"/>
          <w:b/>
          <w:sz w:val="20"/>
          <w:szCs w:val="20"/>
        </w:rPr>
        <w:t xml:space="preserve">22. WHO OWES WHAT DUTIES — MANAGERS, MEMBERS, AND LIABILITY INSIDE THE STRUCTURE</w:t>
      </w:r>
    </w:p>
    <w:p>
      <w:pPr>
        <w:widowControl/>
        <w:spacing w:before="0" w:after="40"/>
        <w:ind w:left="432"/>
      </w:pPr>
      <w:r>
        <w:rPr>
          <w:rFonts w:ascii="Georgia" w:hAnsi="Georgia"/>
          <w:b/>
          <w:sz w:val="20"/>
          <w:szCs w:val="20"/>
        </w:rPr>
        <w:t xml:space="preserve">23. WHEN A MEMBER GETS SUED PERSONALLY — CHARGING ORDERS, BANKRUPTCY, AND DEATH</w:t>
      </w:r>
    </w:p>
    <w:p>
      <w:pPr>
        <w:widowControl/>
        <w:spacing w:before="0" w:after="40"/>
        <w:ind w:left="432"/>
      </w:pPr>
      <w:r>
        <w:rPr>
          <w:rFonts w:ascii="Georgia" w:hAnsi="Georgia"/>
          <w:b/>
          <w:sz w:val="20"/>
          <w:szCs w:val="20"/>
        </w:rPr>
        <w:t xml:space="preserve">24. WHEN A SERIES GETS SUED — SERVICE OF PROCESS AND LEGAL MAIL</w:t>
      </w:r>
    </w:p>
    <w:p>
      <w:pPr>
        <w:widowControl/>
        <w:spacing w:before="0" w:after="40"/>
        <w:ind w:left="432"/>
      </w:pPr>
      <w:r>
        <w:rPr>
          <w:rFonts w:ascii="Georgia" w:hAnsi="Georgia"/>
          <w:b/>
          <w:sz w:val="20"/>
          <w:szCs w:val="20"/>
        </w:rPr>
        <w:t xml:space="preserve">25. CROSSING STATE LINES</w:t>
      </w:r>
    </w:p>
    <w:p>
      <w:pPr>
        <w:widowControl/>
        <w:spacing w:before="0" w:after="40"/>
        <w:ind w:left="432"/>
      </w:pPr>
      <w:r>
        <w:rPr>
          <w:rFonts w:ascii="Georgia" w:hAnsi="Georgia"/>
          <w:b/>
          <w:sz w:val="20"/>
          <w:szCs w:val="20"/>
        </w:rPr>
        <w:t xml:space="preserve">26. ENDING THINGS — DISSOLVING A SERIES OR THE COMPANY</w:t>
      </w:r>
    </w:p>
    <w:p>
      <w:pPr>
        <w:keepNext/>
        <w:widowControl/>
        <w:spacing w:before="160" w:after="80"/>
      </w:pPr>
      <w:r>
        <w:rPr>
          <w:rFonts w:ascii="Georgia" w:hAnsi="Georgia"/>
          <w:b/>
          <w:color w:val="0D2E55"/>
          <w:sz w:val="22"/>
          <w:szCs w:val="22"/>
        </w:rPr>
        <w:t xml:space="preserve">PART SIX — PRACTICE TOOLS</w:t>
      </w:r>
    </w:p>
    <w:p>
      <w:pPr>
        <w:widowControl/>
        <w:spacing w:before="0" w:after="40"/>
        <w:ind w:left="432"/>
      </w:pPr>
      <w:r>
        <w:rPr>
          <w:rFonts w:ascii="Georgia" w:hAnsi="Georgia"/>
          <w:b/>
          <w:sz w:val="20"/>
          <w:szCs w:val="20"/>
        </w:rPr>
        <w:t xml:space="preserve">27. SIXTEEN TRAPS FOR THE UNWARY</w:t>
      </w:r>
    </w:p>
    <w:p>
      <w:pPr>
        <w:widowControl/>
        <w:spacing w:before="0" w:after="40"/>
        <w:ind w:left="432"/>
      </w:pPr>
      <w:r>
        <w:rPr>
          <w:rFonts w:ascii="Georgia" w:hAnsi="Georgia"/>
          <w:b/>
          <w:sz w:val="20"/>
          <w:szCs w:val="20"/>
        </w:rPr>
        <w:t xml:space="preserve">28. THREE WORKED EXAMPLES</w:t>
      </w:r>
    </w:p>
    <w:p>
      <w:pPr>
        <w:widowControl/>
        <w:spacing w:before="0" w:after="40"/>
        <w:ind w:left="432"/>
      </w:pPr>
      <w:r>
        <w:rPr>
          <w:rFonts w:ascii="Georgia" w:hAnsi="Georgia"/>
          <w:b/>
          <w:sz w:val="20"/>
          <w:szCs w:val="20"/>
        </w:rPr>
        <w:t xml:space="preserve">29. THE CHECKLISTS</w:t>
      </w:r>
    </w:p>
    <w:p>
      <w:pPr>
        <w:widowControl/>
        <w:spacing w:before="0" w:after="40"/>
        <w:ind w:left="432"/>
      </w:pPr>
      <w:r>
        <w:rPr>
          <w:rFonts w:ascii="Georgia" w:hAnsi="Georgia"/>
          <w:b/>
          <w:sz w:val="20"/>
          <w:szCs w:val="20"/>
        </w:rPr>
        <w:t xml:space="preserve">30. SAMPLE LANGUAGE (COPY CAREFULLY — NAMES EXACTLY AS FILED)</w:t>
      </w:r>
    </w:p>
    <w:p>
      <w:pPr>
        <w:widowControl/>
        <w:spacing w:before="0" w:after="40"/>
        <w:ind w:left="432"/>
      </w:pPr>
      <w:r>
        <w:rPr>
          <w:rFonts w:ascii="Georgia" w:hAnsi="Georgia"/>
          <w:b/>
          <w:sz w:val="20"/>
          <w:szCs w:val="20"/>
        </w:rPr>
        <w:t xml:space="preserve">31. GLOSSARY</w:t>
      </w:r>
    </w:p>
    <w:p>
      <w:pPr>
        <w:widowControl/>
        <w:spacing w:before="0" w:after="40"/>
        <w:ind w:left="432"/>
      </w:pPr>
      <w:r>
        <w:rPr>
          <w:rFonts w:ascii="Georgia" w:hAnsi="Georgia"/>
          <w:b/>
          <w:sz w:val="20"/>
          <w:szCs w:val="20"/>
        </w:rPr>
        <w:t xml:space="preserve">32. FREQUENTLY ASKED QUESTIONS</w:t>
      </w:r>
    </w:p>
    <w:p>
      <w:pPr>
        <w:pageBreakBefore/>
        <w:keepNext/>
        <w:widowControl/>
        <w:spacing w:before="200" w:after="80"/>
      </w:pPr>
      <w:r>
        <w:rPr>
          <w:rFonts w:ascii="Georgia" w:hAnsi="Georgia"/>
          <w:b/>
          <w:sz w:val="24"/>
          <w:szCs w:val="24"/>
        </w:rPr>
        <w:t xml:space="preserve">IMPORTANT DISCLAIMER</w:t>
      </w:r>
    </w:p>
    <w:p>
      <w:pPr>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widowControl/>
        <w:spacing w:before="320" w:after="160"/>
      </w:pPr>
      <w:r>
        <w:rPr>
          <w:rFonts w:ascii="Georgia" w:hAnsi="Georgia"/>
          <w:b/>
          <w:color w:val="0D2E55"/>
          <w:sz w:val="28"/>
          <w:szCs w:val="28"/>
        </w:rPr>
        <w:t xml:space="preserve">HOW TO USE THIS MANUAL</w:t>
      </w:r>
    </w:p>
    <w:p>
      <w:pPr>
        <w:keepNext/>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pageBreakBefore/>
        <w:keepNext/>
        <w:widowControl/>
        <w:spacing w:before="0" w:after="320"/>
      </w:pPr>
      <w:r>
        <w:rPr>
          <w:rFonts w:ascii="Georgia" w:hAnsi="Georgia"/>
          <w:b/>
          <w:color w:val="0D2E55"/>
          <w:sz w:val="40"/>
          <w:szCs w:val="40"/>
        </w:rPr>
        <w:t xml:space="preserve">PART ONE — HOW THE PROTECTION WORKS</w:t>
      </w:r>
    </w:p>
    <w:p>
      <w:pPr>
        <w:keepNext/>
        <w:widowControl/>
        <w:spacing w:before="320" w:after="160"/>
      </w:pPr>
      <w:r>
        <w:rPr>
          <w:rFonts w:ascii="Georgia" w:hAnsi="Georgia"/>
          <w:b/>
          <w:color w:val="0D2E55"/>
          <w:sz w:val="28"/>
          <w:szCs w:val="28"/>
        </w:rPr>
        <w:t xml:space="preserve">1. WHAT IS A FLORIDA PROTECTED SERIES LLC?</w:t>
      </w:r>
    </w:p>
    <w:p>
      <w:pPr>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 (our forms use neither — every series is owned and managed by the company; Section 18 explains why);</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widowControl/>
        <w:spacing w:before="320" w:after="160"/>
      </w:pPr>
      <w:r>
        <w:rPr>
          <w:rFonts w:ascii="Georgia" w:hAnsi="Georgia"/>
          <w:b/>
          <w:color w:val="0D2E55"/>
          <w:sz w:val="28"/>
          <w:szCs w:val="28"/>
        </w:rPr>
        <w:t xml:space="preserve">2. THE TWO LIABILITY SHIELDS</w:t>
      </w:r>
    </w:p>
    <w:p>
      <w:pPr>
        <w:widowControl/>
        <w:spacing w:after="160"/>
        <w:jc w:val="both"/>
      </w:pPr>
      <w:r>
        <w:rPr>
          <w:rFonts w:ascii="Georgia" w:hAnsi="Georgia"/>
          <w:sz w:val="22"/>
          <w:szCs w:val="22"/>
        </w:rPr>
        <w:t xml:space="preserve">A Florida PSLLC has two distinct shields. Understanding both tells you what you are protecting and what can break.</w:t>
      </w:r>
    </w:p>
    <w:p>
      <w:pPr>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widowControl/>
        <w:spacing w:before="320" w:after="160"/>
      </w:pPr>
      <w:r>
        <w:rPr>
          <w:rFonts w:ascii="Georgia" w:hAnsi="Georgia"/>
          <w:b/>
          <w:color w:val="0D2E55"/>
          <w:sz w:val="28"/>
          <w:szCs w:val="28"/>
        </w:rPr>
        <w:t xml:space="preserve">3. "ASSOCIATED ASSETS" — THE RULE THAT DECIDES EVERYTHING</w:t>
      </w:r>
    </w:p>
    <w:p>
      <w:pPr>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widowControl/>
        <w:spacing w:after="160"/>
        <w:jc w:val="both"/>
      </w:pPr>
      <w:r>
        <w:rPr>
          <w:rFonts w:ascii="Georgia" w:hAnsi="Georgia"/>
          <w:sz w:val="22"/>
          <w:szCs w:val="22"/>
        </w:rPr>
        <w:t xml:space="preserve">Read those two paragraphs again. They are the entire game:</w:t>
      </w:r>
    </w:p>
    <w:p>
      <w:pPr>
        <w:keepNext/>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widowControl/>
        <w:spacing w:after="160"/>
        <w:jc w:val="both"/>
      </w:pPr>
      <w:r>
        <w:rPr>
          <w:rFonts w:ascii="Georgia" w:hAnsi="Georgia"/>
          <w:sz w:val="22"/>
          <w:szCs w:val="22"/>
        </w:rPr>
        <w:t xml:space="preserve">Your operating agreement fights this battle for you in two ways. Article 8 puts the records in a named person's hands and sets the standard they must meet. And the standing association rules at the end of Article 8 — a provision you will not find in other companies' forms — makes the agreement </w:t>
      </w:r>
      <w:r>
        <w:rPr>
          <w:rFonts w:ascii="Georgia" w:hAnsi="Georgia"/>
          <w:i/>
          <w:sz w:val="22"/>
          <w:szCs w:val="22"/>
        </w:rPr>
        <w:t xml:space="preserve">itself</w:t>
      </w:r>
      <w:r>
        <w:rPr>
          <w:rFonts w:ascii="Georgia" w:hAnsi="Georgia"/>
          <w:sz w:val="22"/>
          <w:szCs w:val="22"/>
        </w:rPr>
        <w:t xml:space="preserve"> part of your records: assets titled in a series' name, bought with a series' funds, or held in a series' accounts are associated with that series by standing rule, income and proceeds follow the asset that produced them, and anything left over is associated with the mothership so that </w:t>
      </w:r>
      <w:r>
        <w:rPr>
          <w:rFonts w:ascii="Georgia" w:hAnsi="Georgia"/>
          <w:b/>
          <w:sz w:val="22"/>
          <w:szCs w:val="22"/>
        </w:rPr>
        <w:t xml:space="preserve">no asset of yours is ever "non-associated."</w:t>
      </w:r>
      <w:r>
        <w:rPr>
          <w:rFonts w:ascii="Georgia" w:hAnsi="Georgia"/>
          <w:sz w:val="22"/>
          <w:szCs w:val="22"/>
        </w:rPr>
        <w:t xml:space="preserve"> They are a safety net, not a substitute: it works alongside real ledgers and real bank accounts, not instead of them.</w:t>
      </w:r>
    </w:p>
    <w:p>
      <w:pPr>
        <w:keepNext/>
        <w:widowControl/>
        <w:spacing w:before="320" w:after="160"/>
      </w:pPr>
      <w:r>
        <w:rPr>
          <w:rFonts w:ascii="Georgia" w:hAnsi="Georgia"/>
          <w:b/>
          <w:color w:val="0D2E55"/>
          <w:sz w:val="28"/>
          <w:szCs w:val="28"/>
        </w:rPr>
        <w:t xml:space="preserve">4. WHY USE A SERIES LLC — AND WHEN NOT TO</w:t>
      </w:r>
    </w:p>
    <w:p>
      <w:pPr>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$25 series per property instead of a $125+ LLC per property); separating a risky operating business from valuable equipment; or separating brands or projects.</w:t>
      </w:r>
    </w:p>
    <w:p>
      <w:pPr>
        <w:keepNext/>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widowControl/>
        <w:spacing w:before="320" w:after="160"/>
      </w:pPr>
      <w:r>
        <w:rPr>
          <w:rFonts w:ascii="Georgia" w:hAnsi="Georgia"/>
          <w:b/>
          <w:color w:val="0D2E55"/>
          <w:sz w:val="28"/>
          <w:szCs w:val="28"/>
        </w:rPr>
        <w:t xml:space="preserve">5. THE VOCABULARY — THIRTEEN TERMS THAT DO REAL WORK</w:t>
      </w:r>
    </w:p>
    <w:p>
      <w:pPr>
        <w:widowControl/>
        <w:spacing w:after="160"/>
        <w:jc w:val="both"/>
      </w:pPr>
      <w:r>
        <w:rPr>
          <w:rFonts w:ascii="Georgia" w:hAnsi="Georgia"/>
          <w:sz w:val="22"/>
          <w:szCs w:val="22"/>
        </w:rPr>
        <w:t xml:space="preserve">Full glossary in Section 31; these thirteen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debts, members, and manager,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In our structure the members own the company, and the company owns every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of the company linked to a particular series (s. 605.2302). </w:t>
            </w:r>
            <w:r>
              <w:rPr>
                <w:rFonts w:ascii="Georgia" w:hAnsi="Georgia"/>
                <w:b/>
                <w:sz w:val="20"/>
                <w:szCs w:val="20"/>
              </w:rPr>
              <w:t xml:space="preserve">Our agreements deliberately have none:</w:t>
            </w:r>
            <w:r>
              <w:rPr>
                <w:rFonts w:ascii="Georgia" w:hAnsi="Georgia"/>
                <w:sz w:val="20"/>
                <w:szCs w:val="20"/>
              </w:rPr>
              <w:t xml:space="preserve"> every series is wholly owned by the company, which is why the whole structure files one return (Section 18). Because no series has an associated member, s. 605.2304(2) would make the company its protected-series manager; your agreement may name the member instead (Section 18)</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In the manager-managed forms each series is run by the company's Manager unless its Series Exhibit names someone else for that series. In the member-managed forms there is no manager: the owners run the company, and in a single-owner company you are named each series' protected-series manager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manager, capital, and starting asset schedule, and records that the series has no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out by a silo — a series pays the company; the company pays the members — always from that silo's own assets, always recorded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Contribution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put into a silo. You fund the company; the company funds each series (s. 6.1 of your agreement). Recorded against the silo that receives it</w:t>
            </w:r>
          </w:p>
        </w:tc>
      </w:tr>
    </w:tbl>
    <w:p>
      <w:pPr>
        <w:widowControl/>
        <w:spacing w:after="160"/>
      </w:pPr>
      <w:r>
        <w:rPr>
          <w:rFonts w:ascii="Georgia" w:hAnsi="Georgia"/>
          <w:sz w:val="22"/>
        </w:rPr>
      </w:r>
    </w:p>
    <w:p>
      <w:pPr>
        <w:pageBreakBefore/>
        <w:keepNext/>
        <w:widowControl/>
        <w:spacing w:before="0" w:after="320"/>
      </w:pPr>
      <w:r>
        <w:rPr>
          <w:rFonts w:ascii="Georgia" w:hAnsi="Georgia"/>
          <w:b/>
          <w:color w:val="0D2E55"/>
          <w:sz w:val="40"/>
          <w:szCs w:val="40"/>
        </w:rPr>
        <w:t xml:space="preserve">PART TWO — FORMATION AND STRUCTURE</w:t>
      </w:r>
    </w:p>
    <w:p>
      <w:pPr>
        <w:keepNext/>
        <w:widowControl/>
        <w:spacing w:before="320" w:after="160"/>
      </w:pPr>
      <w:r>
        <w:rPr>
          <w:rFonts w:ascii="Georgia" w:hAnsi="Georgia"/>
          <w:b/>
          <w:color w:val="0D2E55"/>
          <w:sz w:val="28"/>
          <w:szCs w:val="28"/>
        </w:rPr>
        <w:t xml:space="preserve">6. HOW A FLORIDA PROTECTED SERIES LLC IS FORMED</w:t>
      </w:r>
    </w:p>
    <w:p>
      <w:pPr>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widowControl/>
        <w:spacing w:after="160"/>
        <w:jc w:val="both"/>
      </w:pPr>
      <w:r>
        <w:rPr>
          <w:rFonts w:ascii="Georgia" w:hAnsi="Georgia"/>
          <w:b/>
          <w:sz w:val="22"/>
          <w:szCs w:val="22"/>
        </w:rPr>
        <w:t xml:space="preserve">Step 3 — Consent.</w:t>
      </w:r>
      <w:r>
        <w:rPr>
          <w:rFonts w:ascii="Georgia" w:hAnsi="Georgia"/>
          <w:sz w:val="22"/>
          <w:szCs w:val="22"/>
        </w:rPr>
        <w:t xml:space="preserve"> Establishing a protected series requires the affirmative vote or consent of </w:t>
      </w:r>
      <w:r>
        <w:rPr>
          <w:rFonts w:ascii="Georgia" w:hAnsi="Georgia"/>
          <w:b/>
          <w:sz w:val="22"/>
          <w:szCs w:val="22"/>
        </w:rPr>
        <w:t xml:space="preserve">all members</w:t>
      </w:r>
      <w:r>
        <w:rPr>
          <w:rFonts w:ascii="Georgia" w:hAnsi="Georgia"/>
          <w:sz w:val="22"/>
          <w:szCs w:val="22"/>
        </w:rPr>
        <w:t xml:space="preserve"> of the company (s. 605.2201). This is a rule your operating agreement </w:t>
      </w:r>
      <w:r>
        <w:rPr>
          <w:rFonts w:ascii="Georgia" w:hAnsi="Georgia"/>
          <w:b/>
          <w:sz w:val="22"/>
          <w:szCs w:val="22"/>
        </w:rPr>
        <w:t xml:space="preserve">cannot change</w:t>
      </w:r>
      <w:r>
        <w:rPr>
          <w:rFonts w:ascii="Georgia" w:hAnsi="Georgia"/>
          <w:sz w:val="22"/>
          <w:szCs w:val="22"/>
        </w:rPr>
        <w:t xml:space="preserve"> — s. 605.2107 puts it on the list of non-variable provisions. (If an earlier document or guide told you the operating agreement can modify this rule, it was wrong.) In a single-member company this is trivial — your consent is everyone's consent. In a multi-member company, plan for it: one holdout member can block a new series.</w:t>
      </w:r>
    </w:p>
    <w:p>
      <w:pPr>
        <w:keepNext/>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Next/>
        <w:keepLines/>
        <w:widowControl/>
        <w:spacing w:after="80"/>
        <w:ind w:left="504" w:right="504"/>
      </w:pPr>
      <w:r>
        <w:rPr>
          <w:rFonts w:ascii="Georgia" w:hAnsi="Georgia"/>
          <w:b/>
          <w:sz w:val="21"/>
          <w:szCs w:val="21"/>
        </w:rPr>
        <w:t xml:space="preserve">Sunshine Holdings, LLC - PS 1</w:t>
      </w:r>
    </w:p>
    <w:p>
      <w:pPr>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manager, its purpose, its capital, and its opening asset schedule — the first entries in the records that s. 605.2301 demands. It also records that the series has no associated members: the company owns it.</w:t>
      </w:r>
    </w:p>
    <w:p>
      <w:pPr>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widowControl/>
        <w:spacing w:before="320" w:after="160"/>
      </w:pPr>
      <w:r>
        <w:rPr>
          <w:rFonts w:ascii="Georgia" w:hAnsi="Georgia"/>
          <w:b/>
          <w:color w:val="0D2E55"/>
          <w:sz w:val="28"/>
          <w:szCs w:val="28"/>
        </w:rPr>
        <w:t xml:space="preserve">7. YOUR OPERATING AGREEMENT — A GUIDED TOUR</w:t>
      </w:r>
    </w:p>
    <w:p>
      <w:pPr>
        <w:widowControl/>
        <w:spacing w:after="160"/>
        <w:jc w:val="both"/>
      </w:pPr>
      <w:r>
        <w:rPr>
          <w:rFonts w:ascii="Georgia" w:hAnsi="Georgia"/>
          <w:sz w:val="22"/>
          <w:szCs w:val="22"/>
        </w:rPr>
        <w:t xml:space="preserve">Your operating agreement comes in one of five versions. Two questions decide which one you have: </w:t>
      </w:r>
      <w:r>
        <w:rPr>
          <w:rFonts w:ascii="Georgia" w:hAnsi="Georgia"/>
          <w:b/>
          <w:sz w:val="22"/>
          <w:szCs w:val="22"/>
        </w:rPr>
        <w:t xml:space="preserve">who manages the company</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Taxed as a partnership (or, with one owner, disregarded)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A designated manager runs it</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All owners manage together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widowControl/>
        <w:spacing w:after="160"/>
      </w:pPr>
      <w:r>
        <w:rPr>
          <w:rFonts w:ascii="Georgia" w:hAnsi="Georgia"/>
          <w:sz w:val="22"/>
        </w:rPr>
      </w:r>
    </w:p>
    <w:p>
      <w:pPr>
        <w:keepNext/>
        <w:widowControl/>
        <w:spacing w:after="160"/>
        <w:jc w:val="both"/>
      </w:pPr>
      <w:r>
        <w:rPr>
          <w:rFonts w:ascii="Georgia" w:hAnsi="Georgia"/>
          <w:sz w:val="22"/>
          <w:szCs w:val="22"/>
        </w:rPr>
        <w:t xml:space="preserve">All five share the same skeleton through Article 9. From there the single-member form runs one article shorter, because it needs no transfer article — so its Articles 10 through 13 are the other forms' Articles 11 through 14.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titling rule — every asset is held in the name of the silo that owns it, never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per the statute),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association with series, voting (multi-member), the transfer-on-death designation (Section 23), and — in the multi-member form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each series is run by the company's Manager unless its Series Exhibit names someone else. In the </w:t>
            </w:r>
            <w:r>
              <w:rPr>
                <w:rFonts w:ascii="Georgia" w:hAnsi="Georgia"/>
                <w:b/>
                <w:sz w:val="20"/>
                <w:szCs w:val="20"/>
              </w:rPr>
              <w:t xml:space="preserve">member-managed</w:t>
            </w:r>
            <w:r>
              <w:rPr>
                <w:rFonts w:ascii="Georgia" w:hAnsi="Georgia"/>
                <w:sz w:val="20"/>
                <w:szCs w:val="20"/>
              </w:rPr>
              <w:t xml:space="preserve"> forms there is no manager at all: the owners run the company by majority of ownership, each series is run by the company acting through its owners,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not a decision-making one). In the </w:t>
            </w:r>
            <w:r>
              <w:rPr>
                <w:rFonts w:ascii="Georgia" w:hAnsi="Georgia"/>
                <w:b/>
                <w:sz w:val="20"/>
                <w:szCs w:val="20"/>
              </w:rPr>
              <w:t xml:space="preserve">single-owner member-managed</w:t>
            </w:r>
            <w:r>
              <w:rPr>
                <w:rFonts w:ascii="Georgia" w:hAnsi="Georgia"/>
                <w:sz w:val="20"/>
                <w:szCs w:val="20"/>
              </w:rPr>
              <w:t xml:space="preserve"> forms you are named the protected-series manager of each series directly, as s. 605.2107(1)(n) permits.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distributions — always </w:t>
            </w:r>
            <w:r>
              <w:rPr>
                <w:rFonts w:ascii="Georgia" w:hAnsi="Georgia"/>
                <w:b/>
                <w:sz w:val="20"/>
                <w:szCs w:val="20"/>
              </w:rPr>
              <w:t xml:space="preserve">from a series' own assets, and by a series only to the company that owns it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that close the Article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In the multi-member forms:</w:t>
            </w:r>
            <w:r>
              <w:rPr>
                <w:rFonts w:ascii="Georgia" w:hAnsi="Georgia"/>
                <w:sz w:val="20"/>
                <w:szCs w:val="20"/>
              </w:rPr>
              <w:t xml:space="preserve"> transfers — family transfers permitted, everything else needs consent, transferees get money rights only, plus the charging-order and involuntary-transfer armor (Section 23). </w:t>
            </w:r>
            <w:r>
              <w:rPr>
                <w:rFonts w:ascii="Georgia" w:hAnsi="Georgia"/>
                <w:b/>
                <w:sz w:val="20"/>
                <w:szCs w:val="20"/>
              </w:rPr>
              <w:t xml:space="preserve">In the single-member form:</w:t>
            </w:r>
            <w:r>
              <w:rPr>
                <w:rFonts w:ascii="Georgia" w:hAnsi="Georgia"/>
                <w:sz w:val="20"/>
                <w:szCs w:val="20"/>
              </w:rPr>
              <w:t xml:space="preserve"> admission of an additional member. That form has no transfer article, because Chapter 605 already makes a transfer permissible, gives a transferee distributions and nothing else, and binds a transferee who never signs — there was nothing left for the agreement to add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 In the single-member form, Article 11 is dissolution and winding up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who manages it, capital, opening asset schedule — and the statement that the company owns it and it has no associated members</w:t>
            </w:r>
          </w:p>
        </w:tc>
      </w:tr>
    </w:tbl>
    <w:p>
      <w:pPr>
        <w:widowControl/>
        <w:spacing w:after="160"/>
      </w:pPr>
      <w:r>
        <w:rPr>
          <w:rFonts w:ascii="Georgia" w:hAnsi="Georgia"/>
          <w:sz w:val="22"/>
        </w:rPr>
      </w:r>
    </w:p>
    <w:p>
      <w:pPr>
        <w:keepNext/>
        <w:widowControl/>
        <w:spacing w:before="200" w:after="80"/>
      </w:pPr>
      <w:r>
        <w:rPr>
          <w:rFonts w:ascii="Georgia" w:hAnsi="Georgia"/>
          <w:b/>
          <w:sz w:val="24"/>
          <w:szCs w:val="24"/>
        </w:rPr>
        <w:t xml:space="preserve">The choices you made</w:t>
      </w:r>
    </w:p>
    <w:p>
      <w:pPr>
        <w:widowControl/>
        <w:spacing w:after="160"/>
        <w:jc w:val="both"/>
      </w:pPr>
      <w:r>
        <w:rPr>
          <w:rFonts w:ascii="Georgia" w:hAnsi="Georgia"/>
          <w:sz w:val="22"/>
          <w:szCs w:val="22"/>
        </w:rPr>
        <w:t xml:space="preserve">When you completed the questionnaire, you decided three things that appear in your multi-owner agreement. Here is what each one does.</w:t>
      </w:r>
    </w:p>
    <w:p>
      <w:pPr>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a majority of owners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so Alternative B is drafted as an express waiver of it.</w:t>
      </w:r>
    </w:p>
    <w:p>
      <w:pPr>
        <w:widowControl/>
        <w:spacing w:after="160"/>
        <w:jc w:val="both"/>
      </w:pPr>
      <w:r>
        <w:rPr>
          <w:rFonts w:ascii="Georgia" w:hAnsi="Georgia"/>
          <w:b/>
          <w:sz w:val="22"/>
          <w:szCs w:val="22"/>
        </w:rPr>
        <w:t xml:space="preserve">Deadlock buy-sell, the "shotgun" (§13.2).</w:t>
      </w:r>
      <w:r>
        <w:rPr>
          <w:rFonts w:ascii="Georgia" w:hAnsi="Georgia"/>
          <w:sz w:val="22"/>
          <w:szCs w:val="22"/>
        </w:rPr>
        <w:t xml:space="preserve"> For a company that can split evenly, a deadlock otherwise has no exit short of suing to dissolve. If you included it: after a 60-day deadlock, one substantial owner names a single price for the whole company, and the </w:t>
      </w:r>
      <w:r>
        <w:rPr>
          <w:rFonts w:ascii="Georgia" w:hAnsi="Georgia"/>
          <w:i/>
          <w:sz w:val="22"/>
          <w:szCs w:val="22"/>
        </w:rPr>
        <w:t xml:space="preserve">other</w:t>
      </w:r>
      <w:r>
        <w:rPr>
          <w:rFonts w:ascii="Georgia" w:hAnsi="Georgia"/>
          <w:sz w:val="22"/>
          <w:szCs w:val="22"/>
        </w:rPr>
        <w:t xml:space="preserve"> side chooses whether to buy or sell at that price. Naming the price honestly is self-enforcing — too low and you get bought out cheap, too high and you overpay. Two cautions: it favors whoever has more cash, and it prices the company and all of its series as one unit. If ownership is not evenly split, or the owners' finances are badly mismatched, you were better off omitting it.</w:t>
      </w:r>
    </w:p>
    <w:p>
      <w:pPr>
        <w:keepNext/>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at the end of Article 8)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change agreements.</w:t>
      </w:r>
      <w:r>
        <w:rPr>
          <w:rFonts w:ascii="Georgia" w:hAnsi="Georgia"/>
          <w:sz w:val="22"/>
          <w:szCs w:val="22"/>
        </w:rPr>
        <w:t xml:space="preserve"> Your agreement does not require it — nothing in it does — but the single-member form is built for one owner: it has no voting rules, no capital-call machinery, no transfer restrictions among owners, and no bankruptcy provisions, and its tax treatment changes the moment a second member is admitted. Move to the multi-member form at the same time, not later.</w:t>
      </w:r>
    </w:p>
    <w:p>
      <w:pPr>
        <w:keepNext/>
        <w:widowControl/>
        <w:spacing w:before="320" w:after="160"/>
      </w:pPr>
      <w:r>
        <w:rPr>
          <w:rFonts w:ascii="Georgia" w:hAnsi="Georgia"/>
          <w:b/>
          <w:color w:val="0D2E55"/>
          <w:sz w:val="28"/>
          <w:szCs w:val="28"/>
        </w:rPr>
        <w:t xml:space="preserve">8. THE MOTHERSHIP STRATEGY — KEEP THE PARENT POOR</w:t>
      </w:r>
    </w:p>
    <w:p>
      <w:pPr>
        <w:keepNext/>
        <w:widowControl/>
        <w:spacing w:after="160"/>
        <w:jc w:val="both"/>
      </w:pPr>
      <w:r>
        <w:rPr>
          <w:rFonts w:ascii="Georgia" w:hAnsi="Georgia"/>
          <w:sz w:val="22"/>
          <w:szCs w:val="22"/>
        </w:rPr>
        <w:t xml:space="preserve">The company itself — the mothership — should own as little as possible. Two reasons:</w:t>
      </w:r>
    </w:p>
    <w:p>
      <w:pPr>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Any asset you fail to associate with a series lands, by standing rule, in the company's silo. That is deliberately protective — it means a sloppy record never creates a </w:t>
      </w:r>
      <w:r>
        <w:rPr>
          <w:rFonts w:ascii="Georgia" w:hAnsi="Georgia"/>
          <w:i/>
          <w:sz w:val="22"/>
          <w:szCs w:val="22"/>
        </w:rPr>
        <w:t xml:space="preserve">non-associated</w:t>
      </w:r>
      <w:r>
        <w:rPr>
          <w:rFonts w:ascii="Georgia" w:hAnsi="Georgia"/>
          <w:sz w:val="22"/>
          <w:szCs w:val="22"/>
        </w:rPr>
        <w:t xml:space="preserve"> free-for-all asset — but it also means </w:t>
      </w:r>
      <w:r>
        <w:rPr>
          <w:rFonts w:ascii="Georgia" w:hAnsi="Georgia"/>
          <w:b/>
          <w:sz w:val="22"/>
          <w:szCs w:val="22"/>
        </w:rPr>
        <w:t xml:space="preserve">sloppiness collects in the mothership</w:t>
      </w:r>
      <w:r>
        <w:rPr>
          <w:rFonts w:ascii="Georgia" w:hAnsi="Georgia"/>
          <w:sz w:val="22"/>
          <w:szCs w:val="22"/>
        </w:rPr>
        <w:t xml:space="preserve">. If the mothership is asset-light, a record you missed exposes little.</w:t>
      </w:r>
    </w:p>
    <w:p>
      <w:pPr>
        <w:keepNext/>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the agreement's shared-expense allocation (§5.6/§5.7),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Do not let assets accumulate at the company level in the first place. Acquire each one in the series that will own it, on the day you acquire it — that is the only cheap moment. Moving it later is the transaction Section 10 tells you not to make.</w:t>
      </w:r>
    </w:p>
    <w:p>
      <w:pPr>
        <w:pageBreakBefore/>
        <w:keepNext/>
        <w:widowControl/>
        <w:spacing w:before="0" w:after="320"/>
      </w:pPr>
      <w:r>
        <w:rPr>
          <w:rFonts w:ascii="Georgia" w:hAnsi="Georgia"/>
          <w:b/>
          <w:color w:val="0D2E55"/>
          <w:sz w:val="40"/>
          <w:szCs w:val="40"/>
        </w:rPr>
        <w:t xml:space="preserve">PART THREE — OPERATING THE STRUCTURE</w:t>
      </w:r>
    </w:p>
    <w:p>
      <w:pPr>
        <w:keepNext/>
        <w:widowControl/>
        <w:spacing w:before="320" w:after="160"/>
      </w:pPr>
      <w:r>
        <w:rPr>
          <w:rFonts w:ascii="Georgia" w:hAnsi="Georgia"/>
          <w:b/>
          <w:color w:val="0D2E55"/>
          <w:sz w:val="28"/>
          <w:szCs w:val="28"/>
        </w:rPr>
        <w:t xml:space="preserve">9. TITLING ASSETS CORRECTLY</w:t>
      </w:r>
    </w:p>
    <w:p>
      <w:pPr>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Chapter 14 is where that battle is actually won.</w:t>
      </w:r>
    </w:p>
    <w:p>
      <w:pPr>
        <w:keepNext/>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widowControl/>
        <w:spacing w:after="160"/>
        <w:jc w:val="both"/>
      </w:pPr>
      <w:r>
        <w:rPr>
          <w:rFonts w:ascii="Georgia" w:hAnsi="Georgia"/>
          <w:b/>
          <w:sz w:val="22"/>
          <w:szCs w:val="22"/>
        </w:rPr>
        <w:t xml:space="preserve">Two things the statute flatly forbids, and they are the ones to memorise.</w:t>
      </w:r>
      <w:r>
        <w:rPr>
          <w:rFonts w:ascii="Georgia" w:hAnsi="Georgia"/>
          <w:sz w:val="22"/>
          <w:szCs w:val="22"/>
        </w:rPr>
        <w:t xml:space="preserve"> Under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widowControl/>
        <w:spacing w:after="160"/>
        <w:jc w:val="both"/>
      </w:pPr>
      <w:r>
        <w:rPr>
          <w:rFonts w:ascii="Georgia" w:hAnsi="Georgia"/>
          <w:b/>
          <w:sz w:val="22"/>
          <w:szCs w:val="22"/>
        </w:rPr>
        <w:t xml:space="preserve">What the statute permits that our earlier drafts did not.</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widowControl/>
        <w:spacing w:after="160"/>
        <w:jc w:val="both"/>
      </w:pPr>
      <w:r>
        <w:rPr>
          <w:rFonts w:ascii="Georgia" w:hAnsi="Georgia"/>
          <w:sz w:val="22"/>
          <w:szCs w:val="22"/>
        </w:rPr>
        <w:t xml:space="preserve">Never "in my head, that one's PS 2's."</w:t>
      </w:r>
    </w:p>
    <w:p>
      <w:pPr>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widowControl/>
        <w:spacing w:before="320" w:after="160"/>
      </w:pPr>
      <w:r>
        <w:rPr>
          <w:rFonts w:ascii="Georgia" w:hAnsi="Georgia"/>
          <w:b/>
          <w:color w:val="0D2E55"/>
          <w:sz w:val="28"/>
          <w:szCs w:val="28"/>
        </w:rPr>
        <w:t xml:space="preserve">10. PUTTING ASSETS IN — AND WHY THEY STAY THERE</w:t>
      </w:r>
    </w:p>
    <w:p>
      <w:pPr>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§605.2301's second question — when and from whom the asset came.</w:t>
      </w:r>
    </w:p>
    <w:p>
      <w:pPr>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widowControl/>
        <w:spacing w:after="160"/>
        <w:jc w:val="both"/>
      </w:pPr>
      <w:r>
        <w:rPr>
          <w:rFonts w:ascii="Georgia" w:hAnsi="Georgia"/>
          <w:b/>
          <w:sz w:val="22"/>
          <w:szCs w:val="22"/>
        </w:rPr>
        <w:t xml:space="preserve">Do not move assets between series.</w:t>
      </w:r>
      <w:r>
        <w:rPr>
          <w:rFonts w:ascii="Georgia" w:hAnsi="Georgia"/>
          <w:sz w:val="22"/>
          <w:szCs w:val="22"/>
        </w:rPr>
        <w:t xml:space="preserve"> Treat each series as though it were a separate limited liability company — its own account, its own assets, its own contracts, its own records. If you owned three ordinary LLCs you would not deed a building out of one and into another because it felt tidier, or move a truck across on a Sunday afternoon. The same discipline applies here, for the same reason: the moment an asset moves, its association has to be proved all over again, and s. 605.2404(4) puts that burden on you.</w:t>
      </w:r>
    </w:p>
    <w:p>
      <w:pPr>
        <w:widowControl/>
        <w:spacing w:after="160"/>
        <w:jc w:val="both"/>
      </w:pPr>
      <w:r>
        <w:rPr>
          <w:rFonts w:ascii="Georgia" w:hAnsi="Georgia"/>
          <w:sz w:val="22"/>
          <w:szCs w:val="22"/>
        </w:rPr>
        <w:t xml:space="preserve">This is why the moment of acquisition matters so much. An asset bought in the right series' name, with the right series' money, is associated from day one and stays associated. An asset bought carelessly and relocated later is an asset whose history a stranger has to reconstruct.</w:t>
      </w:r>
    </w:p>
    <w:p>
      <w:pPr>
        <w:widowControl/>
        <w:spacing w:after="160"/>
        <w:jc w:val="both"/>
      </w:pPr>
      <w:r>
        <w:rPr>
          <w:rFonts w:ascii="Georgia" w:hAnsi="Georgia"/>
          <w:sz w:val="22"/>
          <w:szCs w:val="22"/>
        </w:rPr>
        <w:t xml:space="preserve">Series can still do business with each other — one can lease equipment or space to another, or lend it money, exactly as two unrelated companies would (Example 2 in Section 28 is precisely that, and it works because it is priced, papered, and paid). That is business between silos, not the swapping of assets between them.</w:t>
      </w:r>
    </w:p>
    <w:p>
      <w:pPr>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widowControl/>
        <w:spacing w:before="320" w:after="160"/>
      </w:pPr>
      <w:r>
        <w:rPr>
          <w:rFonts w:ascii="Georgia" w:hAnsi="Georgia"/>
          <w:b/>
          <w:color w:val="0D2E55"/>
          <w:sz w:val="28"/>
          <w:szCs w:val="28"/>
        </w:rPr>
        <w:t xml:space="preserve">11. REAL ESTATE — THE EXPENSIVE-MISTAKES CHAPTER</w:t>
      </w:r>
    </w:p>
    <w:p>
      <w:pPr>
        <w:keepNext/>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Florida taxes deed transfers (70 cents per $100 of consideration). Transferring </w:t>
      </w:r>
      <w:r>
        <w:rPr>
          <w:rFonts w:ascii="Georgia" w:hAnsi="Georgia"/>
          <w:i/>
          <w:sz w:val="22"/>
          <w:szCs w:val="22"/>
        </w:rPr>
        <w:t xml:space="preserve">mortgaged</w:t>
      </w:r>
      <w:r>
        <w:rPr>
          <w:rFonts w:ascii="Georgia" w:hAnsi="Georgia"/>
          <w:sz w:val="22"/>
          <w:szCs w:val="22"/>
        </w:rPr>
        <w:t xml:space="preserve"> property to your own entity is generally taxed on the mortgage balance, even with no money changing hands. Price this before you transfer — on a $300,000 mortgage that is $2,100. An unencumbered property transferred for no consideration is a different analysis. Confirm the stamp treatment with your closing agent or CPA before recording; do not guess.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Next/>
        <w:widowControl/>
        <w:spacing w:after="160"/>
        <w:jc w:val="both"/>
      </w:pPr>
      <w:r>
        <w:rPr>
          <w:rFonts w:ascii="Georgia" w:hAnsi="Georgia"/>
          <w:b/>
          <w:sz w:val="22"/>
          <w:szCs w:val="22"/>
        </w:rPr>
        <w:t xml:space="preserve">The statement of authority — optional, and the most consequential filing most owners have never heard of</w:t>
      </w:r>
    </w:p>
    <w:p>
      <w:pPr>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widowControl/>
        <w:spacing w:after="160"/>
        <w:jc w:val="both"/>
      </w:pPr>
      <w:r>
        <w:rPr>
          <w:rFonts w:ascii="Georgia" w:hAnsi="Georgia"/>
          <w:sz w:val="22"/>
          <w:szCs w:val="22"/>
        </w:rPr>
        <w:t xml:space="preserve">Your agreement forbids it among the owners — §5.4(b) in the member-managed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It does not protect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 — and worse. Under s. 605.0302(6), a recorded </w:t>
      </w:r>
      <w:r>
        <w:rPr>
          <w:rFonts w:ascii="Georgia" w:hAnsi="Georgia"/>
          <w:b/>
          <w:sz w:val="22"/>
          <w:szCs w:val="22"/>
        </w:rPr>
        <w:t xml:space="preserve">grant</w:t>
      </w:r>
      <w:r>
        <w:rPr>
          <w:rFonts w:ascii="Georgia" w:hAnsi="Georgia"/>
          <w:sz w:val="22"/>
          <w:szCs w:val="22"/>
        </w:rPr>
        <w:t xml:space="preserve"> of authority to transfer real property is </w:t>
      </w:r>
      <w:r>
        <w:rPr>
          <w:rFonts w:ascii="Georgia" w:hAnsi="Georgia"/>
          <w:i/>
          <w:sz w:val="22"/>
          <w:szCs w:val="22"/>
        </w:rPr>
        <w:t xml:space="preserve">conclusive in favor of a person who gives value in reliance on it without knowledge to the contrary</w:t>
      </w:r>
      <w:r>
        <w:rPr>
          <w:rFonts w:ascii="Georgia" w:hAnsi="Georgia"/>
          <w:sz w:val="22"/>
          <w:szCs w:val="22"/>
        </w:rPr>
        <w:t xml:space="preserve">: the buyer keeps the building, and your only remedy is a claim against whoever signed. That is why your agreement requires every owner's consent before any statement of authority is filed, amended, cancelled, or recorded.</w:t>
      </w:r>
    </w:p>
    <w:p>
      <w:pPr>
        <w:keepNext/>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Next/>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widowControl/>
        <w:spacing w:before="320" w:after="160"/>
      </w:pPr>
      <w:r>
        <w:rPr>
          <w:rFonts w:ascii="Georgia" w:hAnsi="Georgia"/>
          <w:b/>
          <w:color w:val="0D2E55"/>
          <w:sz w:val="28"/>
          <w:szCs w:val="28"/>
        </w:rPr>
        <w:t xml:space="preserve">12. BANK ACCOUNTS</w:t>
      </w:r>
    </w:p>
    <w:p>
      <w:pPr>
        <w:widowControl/>
        <w:spacing w:after="160"/>
        <w:jc w:val="both"/>
      </w:pPr>
      <w:r>
        <w:rPr>
          <w:rFonts w:ascii="Georgia" w:hAnsi="Georgia"/>
          <w:b/>
          <w:sz w:val="22"/>
          <w:szCs w:val="22"/>
        </w:rPr>
        <w:t xml:space="preserve">The rule: every silo with money has its own account.</w:t>
      </w:r>
      <w:r>
        <w:rPr>
          <w:rFonts w:ascii="Georgia" w:hAnsi="Georgia"/>
          <w:sz w:val="22"/>
          <w:szCs w:val="22"/>
        </w:rPr>
        <w:t xml:space="preserve"> The company has one; each active series has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Your personal money touches the structure in exactly two ways: documented contributions in, documented distributions out. The company debit card buys nothing personal, ever.</w:t>
      </w:r>
    </w:p>
    <w:p>
      <w:pPr>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widowControl/>
        <w:spacing w:before="320" w:after="160"/>
      </w:pPr>
      <w:r>
        <w:rPr>
          <w:rFonts w:ascii="Georgia" w:hAnsi="Georgia"/>
          <w:b/>
          <w:color w:val="0D2E55"/>
          <w:sz w:val="28"/>
          <w:szCs w:val="28"/>
        </w:rPr>
        <w:t xml:space="preserve">13. CONTRACTS, LEASES, AND SIGNATURE BLOCKS</w:t>
      </w:r>
    </w:p>
    <w:p>
      <w:pPr>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widowControl/>
        <w:spacing w:after="160"/>
        <w:jc w:val="both"/>
      </w:pPr>
      <w:r>
        <w:rPr>
          <w:rFonts w:ascii="Georgia" w:hAnsi="Georgia"/>
          <w:sz w:val="22"/>
          <w:szCs w:val="22"/>
        </w:rPr>
        <w:t xml:space="preserve">The signature block that does it right:</w:t>
      </w:r>
    </w:p>
    <w:p>
      <w:pPr>
        <w:keepNext/>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widowControl/>
        <w:spacing w:before="320" w:after="160"/>
      </w:pPr>
      <w:r>
        <w:rPr>
          <w:rFonts w:ascii="Georgia" w:hAnsi="Georgia"/>
          <w:b/>
          <w:color w:val="0D2E55"/>
          <w:sz w:val="28"/>
          <w:szCs w:val="28"/>
        </w:rPr>
        <w:t xml:space="preserve">14. THE RECORDKEEPING SYSTEM — YOUR ARTICLE 8 FIELD GUIDE</w:t>
      </w:r>
    </w:p>
    <w:p>
      <w:pPr>
        <w:keepNext/>
        <w:widowControl/>
        <w:spacing w:after="160"/>
        <w:jc w:val="both"/>
      </w:pPr>
      <w:r>
        <w:rPr>
          <w:rFonts w:ascii="Georgia" w:hAnsi="Georgia"/>
          <w:sz w:val="22"/>
          <w:szCs w:val="22"/>
        </w:rPr>
        <w:t xml:space="preserve">Article 8 of your operating agreement turns s. 605.2301 into a checklist. Here is the whole system — six habits:</w:t>
      </w:r>
    </w:p>
    <w:p>
      <w:pPr>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§605.2301 names first, and the first thing to update after any acquisition. </w:t>
      </w:r>
      <w:r>
        <w:rPr>
          <w:rFonts w:ascii="Georgia" w:hAnsi="Georgia"/>
          <w:i/>
          <w:sz w:val="22"/>
          <w:szCs w:val="22"/>
        </w:rPr>
        <w:t xml:space="preserve">(App: the Assets tab, per series.)</w:t>
      </w:r>
    </w:p>
    <w:p>
      <w:pPr>
        <w:widowControl/>
        <w:spacing w:after="160"/>
        <w:jc w:val="both"/>
      </w:pPr>
      <w:r>
        <w:rPr>
          <w:rFonts w:ascii="Georgia" w:hAnsi="Georgia"/>
          <w:b/>
          <w:sz w:val="22"/>
          <w:szCs w:val="22"/>
        </w:rPr>
        <w:t xml:space="preserve">Habit 2 — One account per silo, no commingling</w:t>
      </w:r>
      <w:r>
        <w:rPr>
          <w:rFonts w:ascii="Georgia" w:hAnsi="Georgia"/>
          <w:sz w:val="22"/>
          <w:szCs w:val="22"/>
        </w:rPr>
        <w:t xml:space="preserve"> (Section 12). Nothing in ch. 605 requires it and your agreement does not either — it is evidence, and it is the best evidence there is. Bank statements in the series' name are association records a stranger believes instantly.</w:t>
      </w:r>
    </w:p>
    <w:p>
      <w:pPr>
        <w:widowControl/>
        <w:spacing w:after="160"/>
        <w:jc w:val="both"/>
      </w:pPr>
      <w:r>
        <w:rPr>
          <w:rFonts w:ascii="Georgia" w:hAnsi="Georgia"/>
          <w:b/>
          <w:sz w:val="22"/>
          <w:szCs w:val="22"/>
        </w:rPr>
        <w:t xml:space="preserve">Habit 3 — Assets stay where they were acquired</w:t>
      </w:r>
      <w:r>
        <w:rPr>
          <w:rFonts w:ascii="Georgia" w:hAnsi="Georgia"/>
          <w:sz w:val="22"/>
          <w:szCs w:val="22"/>
        </w:rPr>
        <w:t xml:space="preserve"> (Section 10). Do not move them between series, any more than you would move a building between two separate LLCs you own. If one ever does move — because it was acquired in the wrong silo, or because one series genuinely bought it from another — s. 605.2301 requires the record to show the consideration, the payor, and the payee, and Section 30 has the form. </w:t>
      </w:r>
      <w:r>
        <w:rPr>
          <w:rFonts w:ascii="Georgia" w:hAnsi="Georgia"/>
          <w:i/>
          <w:sz w:val="22"/>
          <w:szCs w:val="22"/>
        </w:rPr>
        <w:t xml:space="preserve">(App: the Transfer Log writes both silos' entries at once.)</w:t>
      </w:r>
    </w:p>
    <w:p>
      <w:pPr>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§605.2404 tests association at the incurrence date).</w:t>
      </w:r>
    </w:p>
    <w:p>
      <w:pPr>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widowControl/>
        <w:spacing w:before="320" w:after="160"/>
      </w:pPr>
      <w:r>
        <w:rPr>
          <w:rFonts w:ascii="Georgia" w:hAnsi="Georgia"/>
          <w:b/>
          <w:color w:val="0D2E55"/>
          <w:sz w:val="28"/>
          <w:szCs w:val="28"/>
        </w:rPr>
        <w:t xml:space="preserve">15. INSURANCE — THE FIRST LINE, NOT THE BACKUP</w:t>
      </w:r>
    </w:p>
    <w:p>
      <w:pPr>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pageBreakBefore/>
        <w:keepNext/>
        <w:widowControl/>
        <w:spacing w:before="0" w:after="320"/>
      </w:pPr>
      <w:r>
        <w:rPr>
          <w:rFonts w:ascii="Georgia" w:hAnsi="Georgia"/>
          <w:b/>
          <w:color w:val="0D2E55"/>
          <w:sz w:val="40"/>
          <w:szCs w:val="40"/>
        </w:rPr>
        <w:t xml:space="preserve">PART FOUR — TAXES</w:t>
      </w:r>
    </w:p>
    <w:p>
      <w:pPr>
        <w:keepNext/>
        <w:widowControl/>
        <w:spacing w:before="320" w:after="160"/>
      </w:pPr>
      <w:r>
        <w:rPr>
          <w:rFonts w:ascii="Georgia" w:hAnsi="Georgia"/>
          <w:b/>
          <w:color w:val="0D2E55"/>
          <w:sz w:val="28"/>
          <w:szCs w:val="28"/>
        </w:rPr>
        <w:t xml:space="preserve">16. THE BASICS — THERE IS NO SUCH THING AS "LLC TAXATION"</w:t>
      </w:r>
    </w:p>
    <w:p>
      <w:pPr>
        <w:widowControl/>
        <w:spacing w:after="160"/>
        <w:jc w:val="both"/>
      </w:pPr>
      <w:r>
        <w:rPr>
          <w:rFonts w:ascii="Georgia" w:hAnsi="Georgia"/>
          <w:sz w:val="22"/>
          <w:szCs w:val="22"/>
        </w:rPr>
        <w:t xml:space="preserve">Start here, because almost every mistake in this Part comes from skipping it.</w:t>
      </w:r>
    </w:p>
    <w:p>
      <w:pPr>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widowControl/>
        <w:spacing w:before="200" w:after="80"/>
      </w:pPr>
      <w:r>
        <w:rPr>
          <w:rFonts w:ascii="Georgia" w:hAnsi="Georgia"/>
          <w:b/>
          <w:sz w:val="24"/>
          <w:szCs w:val="24"/>
        </w:rPr>
        <w:t xml:space="preserve">And one Florida question</w:t>
      </w:r>
    </w:p>
    <w:p>
      <w:pPr>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widowControl/>
        <w:spacing w:before="320" w:after="160"/>
      </w:pPr>
      <w:r>
        <w:rPr>
          <w:rFonts w:ascii="Georgia" w:hAnsi="Georgia"/>
          <w:b/>
          <w:color w:val="0D2E55"/>
          <w:sz w:val="28"/>
          <w:szCs w:val="28"/>
        </w:rPr>
        <w:t xml:space="preserve">17. HOW A SERIES IS TAXED — AND WHY WHO OWNS IT DECIDES EVERYTHING</w:t>
      </w:r>
    </w:p>
    <w:p>
      <w:pPr>
        <w:widowControl/>
        <w:spacing w:after="160"/>
        <w:jc w:val="both"/>
      </w:pPr>
      <w:r>
        <w:rPr>
          <w:rFonts w:ascii="Georgia" w:hAnsi="Georgia"/>
          <w:sz w:val="22"/>
          <w:szCs w:val="22"/>
        </w:rPr>
        <w:t xml:space="preserve">Chapter 16 is settled law. This chapter is not, and you should know that going in.</w:t>
      </w:r>
    </w:p>
    <w:p>
      <w:pPr>
        <w:keepNext/>
        <w:widowControl/>
        <w:spacing w:before="200" w:after="80"/>
      </w:pPr>
      <w:r>
        <w:rPr>
          <w:rFonts w:ascii="Georgia" w:hAnsi="Georgia"/>
          <w:b/>
          <w:sz w:val="24"/>
          <w:szCs w:val="24"/>
        </w:rPr>
        <w:t xml:space="preserve">The proposed regulations</w:t>
      </w:r>
    </w:p>
    <w:p>
      <w:pPr>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widowControl/>
        <w:spacing w:before="200" w:after="80"/>
      </w:pPr>
      <w:r>
        <w:rPr>
          <w:rFonts w:ascii="Georgia" w:hAnsi="Georgia"/>
          <w:b/>
          <w:sz w:val="24"/>
          <w:szCs w:val="24"/>
        </w:rPr>
        <w:t xml:space="preserve">When different series have different owners</w:t>
      </w:r>
    </w:p>
    <w:p>
      <w:pPr>
        <w:keepNext/>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widowControl/>
        <w:spacing w:before="200" w:after="80"/>
      </w:pPr>
      <w:r>
        <w:rPr>
          <w:rFonts w:ascii="Georgia" w:hAnsi="Georgia"/>
          <w:b/>
          <w:sz w:val="24"/>
          <w:szCs w:val="24"/>
        </w:rPr>
        <w:t xml:space="preserve">The partnership problem</w:t>
      </w:r>
    </w:p>
    <w:p>
      <w:pPr>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widowControl/>
        <w:spacing w:before="200" w:after="80"/>
      </w:pPr>
      <w:r>
        <w:rPr>
          <w:rFonts w:ascii="Georgia" w:hAnsi="Georgia"/>
          <w:b/>
          <w:sz w:val="24"/>
          <w:szCs w:val="24"/>
        </w:rPr>
        <w:t xml:space="preserve">The S corporation problem</w:t>
      </w:r>
    </w:p>
    <w:p>
      <w:pPr>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widowControl/>
        <w:spacing w:before="320" w:after="160"/>
      </w:pPr>
      <w:r>
        <w:rPr>
          <w:rFonts w:ascii="Georgia" w:hAnsi="Georgia"/>
          <w:b/>
          <w:color w:val="0D2E55"/>
          <w:sz w:val="28"/>
          <w:szCs w:val="28"/>
        </w:rPr>
        <w:t xml:space="preserve">18. WHY YOUR SERIES ARE OWNED BY THE COMPANY</w:t>
      </w:r>
    </w:p>
    <w:p>
      <w:pPr>
        <w:widowControl/>
        <w:spacing w:after="160"/>
        <w:jc w:val="both"/>
      </w:pPr>
      <w:r>
        <w:rPr>
          <w:rFonts w:ascii="Georgia" w:hAnsi="Georgia"/>
          <w:sz w:val="22"/>
          <w:szCs w:val="22"/>
        </w:rPr>
        <w:t xml:space="preserve">Both problems in Chapter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and Florida law supplies the rest: under s. 605.2304(2), where a protected series has no associated member, </w:t>
      </w:r>
      <w:r>
        <w:rPr>
          <w:rFonts w:ascii="Georgia" w:hAnsi="Georgia"/>
          <w:b/>
          <w:sz w:val="22"/>
          <w:szCs w:val="22"/>
        </w:rPr>
        <w:t xml:space="preserve">the company is its protected-series manager.</w:t>
      </w:r>
      <w:r>
        <w:rPr>
          <w:rFonts w:ascii="Georgia" w:hAnsi="Georgia"/>
          <w:sz w:val="22"/>
          <w:szCs w:val="22"/>
        </w:rPr>
        <w:t xml:space="preserve"> You own the company; the company owns the series.</w:t>
      </w:r>
    </w:p>
    <w:p>
      <w:pPr>
        <w:keepNext/>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of its own. Everything on your Form 1040, each property or business as its own Schedule E or C activity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widowControl/>
        <w:spacing w:before="200" w:after="80"/>
      </w:pPr>
      <w:r>
        <w:rPr>
          <w:rFonts w:ascii="Georgia" w:hAnsi="Georgia"/>
          <w:b/>
          <w:sz w:val="24"/>
          <w:szCs w:val="24"/>
        </w:rPr>
        <w:t xml:space="preserve">If you need different owners in different series</w:t>
      </w:r>
    </w:p>
    <w:p>
      <w:pPr>
        <w:keepNext/>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Chapter 17 if those returns are missed. It also raises state-law questions our forms do not address, because our forms are built on the opposite premise. The cost of the right document is small next to the cost of the returns nobody filed.</w:t>
      </w:r>
    </w:p>
    <w:p>
      <w:pPr>
        <w:keepNext/>
        <w:widowControl/>
        <w:spacing w:before="200" w:after="80"/>
      </w:pPr>
      <w:r>
        <w:rPr>
          <w:rFonts w:ascii="Georgia" w:hAnsi="Georgia"/>
          <w:b/>
          <w:sz w:val="24"/>
          <w:szCs w:val="24"/>
        </w:rPr>
        <w:t xml:space="preserve">The S corporation savings clause — what it does, and what it doesn't</w:t>
      </w:r>
    </w:p>
    <w:p>
      <w:pPr>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widowControl/>
        <w:spacing w:after="160"/>
        <w:jc w:val="both"/>
      </w:pPr>
      <w:r>
        <w:rPr>
          <w:rFonts w:ascii="Georgia" w:hAnsi="Georgia"/>
          <w:sz w:val="22"/>
          <w:szCs w:val="22"/>
        </w:rPr>
        <w:t xml:space="preserve">If one of those has already happened, tell your CPA immediately.</w:t>
      </w:r>
    </w:p>
    <w:p>
      <w:pPr>
        <w:keepNext/>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EINs.</w:t>
      </w:r>
      <w:r>
        <w:rPr>
          <w:rFonts w:ascii="Georgia" w:hAnsi="Georgia"/>
          <w:sz w:val="22"/>
          <w:szCs w:val="22"/>
        </w:rPr>
        <w:t xml:space="preserve"> The company needs one. Each series may still want its own, and </w:t>
      </w:r>
      <w:r>
        <w:rPr>
          <w:rFonts w:ascii="Georgia" w:hAnsi="Georgia"/>
          <w:i/>
          <w:sz w:val="22"/>
          <w:szCs w:val="22"/>
        </w:rPr>
        <w:t xml:space="preserve">needs</w:t>
      </w:r>
      <w:r>
        <w:rPr>
          <w:rFonts w:ascii="Georgia" w:hAnsi="Georgia"/>
          <w:sz w:val="22"/>
          <w:szCs w:val="22"/>
        </w:rPr>
        <w:t xml:space="preserve"> one if it has employees or excise tax duties (Chapter 16). An EIN per series is free, routine, and makes the banking cleaner. Your CPA or our EIN service can obtain them.</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commercial space, rents short-term lodging, or sells taxable goods — its own Department of Revenue registration and collections, plus county tourist development taxes on short-term rentals. Employment taxes, in the silo that employs the people. Property taxes, where a transfer can reset assessments or lose exemptions (Section 11's homestead warning again).</w:t>
      </w:r>
    </w:p>
    <w:p>
      <w:pPr>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pageBreakBefore/>
        <w:keepNext/>
        <w:widowControl/>
        <w:spacing w:before="0" w:after="320"/>
      </w:pPr>
      <w:r>
        <w:rPr>
          <w:rFonts w:ascii="Georgia" w:hAnsi="Georgia"/>
          <w:b/>
          <w:color w:val="0D2E55"/>
          <w:sz w:val="40"/>
          <w:szCs w:val="40"/>
        </w:rPr>
        <w:t xml:space="preserve">PART FIVE — COMPLIANCE AND CREDITOR PROTECTION</w:t>
      </w:r>
    </w:p>
    <w:p>
      <w:pPr>
        <w:keepNext/>
        <w:widowControl/>
        <w:spacing w:before="320" w:after="160"/>
      </w:pPr>
      <w:r>
        <w:rPr>
          <w:rFonts w:ascii="Georgia" w:hAnsi="Georgia"/>
          <w:b/>
          <w:color w:val="0D2E55"/>
          <w:sz w:val="28"/>
          <w:szCs w:val="28"/>
        </w:rPr>
        <w:t xml:space="preserve">19. STATE FILINGS, YEAR AFTER YEAR</w:t>
      </w:r>
    </w:p>
    <w:p>
      <w:pPr>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 which, in a series LLC, drags </w:t>
      </w:r>
      <w:r>
        <w:rPr>
          <w:rFonts w:ascii="Georgia" w:hAnsi="Georgia"/>
          <w:b/>
          <w:sz w:val="22"/>
          <w:szCs w:val="22"/>
        </w:rPr>
        <w:t xml:space="preserve">every protected series</w:t>
      </w:r>
      <w:r>
        <w:rPr>
          <w:rFonts w:ascii="Georgia" w:hAnsi="Georgia"/>
          <w:sz w:val="22"/>
          <w:szCs w:val="22"/>
        </w:rPr>
        <w:t xml:space="preserve"> down with it (a series cannot outlive its mothership).</w:t>
      </w:r>
    </w:p>
    <w:p>
      <w:pPr>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 on top of losing the shields in the interim.</w:t>
      </w:r>
    </w:p>
    <w:p>
      <w:pPr>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widowControl/>
        <w:spacing w:before="320" w:after="160"/>
      </w:pPr>
      <w:r>
        <w:rPr>
          <w:rFonts w:ascii="Georgia" w:hAnsi="Georgia"/>
          <w:b/>
          <w:color w:val="0D2E55"/>
          <w:sz w:val="28"/>
          <w:szCs w:val="28"/>
        </w:rPr>
        <w:t xml:space="preserve">20. FEDERAL BENEFICIAL OWNERSHIP REPORTING — CURRENTLY: EXEMPT</w:t>
      </w:r>
    </w:p>
    <w:p>
      <w:pPr>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March 2025 interim final rule narrowed "reporting company" to entities formed under </w:t>
      </w:r>
      <w:r>
        <w:rPr>
          <w:rFonts w:ascii="Georgia" w:hAnsi="Georgia"/>
          <w:i/>
          <w:sz w:val="22"/>
          <w:szCs w:val="22"/>
        </w:rPr>
        <w:t xml:space="preserve">foreign</w:t>
      </w:r>
      <w:r>
        <w:rPr>
          <w:rFonts w:ascii="Georgia" w:hAnsi="Georgia"/>
          <w:sz w:val="22"/>
          <w:szCs w:val="22"/>
        </w:rPr>
        <w:t xml:space="preserve"> law that register to do business here. A Florida series LLC formed in Florida currently files nothing with FinCEN, and its owners report nothing.</w:t>
      </w:r>
    </w:p>
    <w:p>
      <w:pPr>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widowControl/>
        <w:spacing w:before="320" w:after="160"/>
      </w:pPr>
      <w:r>
        <w:rPr>
          <w:rFonts w:ascii="Georgia" w:hAnsi="Georgia"/>
          <w:b/>
          <w:color w:val="0D2E55"/>
          <w:sz w:val="28"/>
          <w:szCs w:val="28"/>
        </w:rPr>
        <w:t xml:space="preserve">21. HOW OWNERS DESTROY THE SHIELDS (VEIL PIERCING AND WORSE)</w:t>
      </w:r>
    </w:p>
    <w:p>
      <w:pPr>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widowControl/>
        <w:spacing w:after="160"/>
        <w:jc w:val="both"/>
      </w:pPr>
      <w:r>
        <w:rPr>
          <w:rFonts w:ascii="Georgia" w:hAnsi="Georgia"/>
          <w:sz w:val="22"/>
          <w:szCs w:val="22"/>
        </w:rPr>
        <w:t xml:space="preserve">The conduct that loses these fights, ranked by frequency: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as its owner, the company</w:t>
      </w:r>
      <w:r>
        <w:rPr>
          <w:rFonts w:ascii="Georgia" w:hAnsi="Georgia"/>
          <w:sz w:val="22"/>
          <w:szCs w:val="22"/>
        </w:rPr>
        <w:t xml:space="preserve">. Moving value from PS 2 to PS 1 without process isn't clever consolidation; it is a breach claim owned by PS 2's members.</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(agreement §§5.5–5.6):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widowControl/>
        <w:spacing w:before="320" w:after="160"/>
      </w:pPr>
      <w:r>
        <w:rPr>
          <w:rFonts w:ascii="Georgia" w:hAnsi="Georgia"/>
          <w:b/>
          <w:color w:val="0D2E55"/>
          <w:sz w:val="28"/>
          <w:szCs w:val="28"/>
        </w:rPr>
        <w:t xml:space="preserve">23. WHEN A MEMBER GETS SUED PERSONALLY — CHARGING ORDERS, BANKRUPTCY, AND DEATH</w:t>
      </w:r>
    </w:p>
    <w:p>
      <w:pPr>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with the Manager. A creditor holding a charging order against a member of a well-run multi-member series LLC is holding a right to money that no one is obligated to distribute.</w:t>
      </w:r>
    </w:p>
    <w:p>
      <w:pPr>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of the multi-member agreement declares the agreement an executory contract under 11 U.S.C. §365, catalogs each member's material ongoing duties, and — citing </w:t>
      </w:r>
      <w:r>
        <w:rPr>
          <w:rFonts w:ascii="Georgia" w:hAnsi="Georgia"/>
          <w:i/>
          <w:sz w:val="22"/>
          <w:szCs w:val="22"/>
        </w:rPr>
        <w:t xml:space="preserve">In re Soderstrom</w:t>
      </w:r>
      <w:r>
        <w:rPr>
          <w:rFonts w:ascii="Georgia" w:hAnsi="Georgia"/>
          <w:sz w:val="22"/>
          <w:szCs w:val="22"/>
        </w:rPr>
        <w:t xml:space="preserve"> (M.D. Fla. 2013) — takes the position that a bankruptcy trustee cannot assume or assign a debtor-member's interest without the other members' consent. Understand it honestly: bankruptcy courts wield broad equitable power, and no drafting guarantees an outcome there. Article 11 gives your side the strongest available argument; combined with charging-order exclusivity, it makes the interest an unappetizing target — which is the practical goal.</w:t>
      </w:r>
    </w:p>
    <w:p>
      <w:pPr>
        <w:widowControl/>
        <w:spacing w:after="160"/>
        <w:jc w:val="both"/>
      </w:pPr>
      <w:r>
        <w:rPr>
          <w:rFonts w:ascii="Georgia" w:hAnsi="Georgia"/>
          <w:b/>
          <w:sz w:val="22"/>
          <w:szCs w:val="22"/>
        </w:rPr>
        <w:t xml:space="preserve">Death — the TOD designation.</w:t>
      </w:r>
      <w:r>
        <w:rPr>
          <w:rFonts w:ascii="Georgia" w:hAnsi="Georgia"/>
          <w:sz w:val="22"/>
          <w:szCs w:val="22"/>
        </w:rPr>
        <w:t xml:space="preserve"> Both agreements let each member register a transfer-on-death beneficiary — anyone the member chooses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with the consent of a majority in interest of the other members — death does not bypass the controls that govern lifetime transfers, and family is treated no differently. In the single-member agreement the beneficiary is admitted as the Member on delivering a signed agreement to be bound, since there is no one else to consent. Keep designations current (the formalities are strict: signed writing, two witnesses, delivered to the Manager),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widowControl/>
        <w:spacing w:before="320" w:after="160"/>
      </w:pPr>
      <w:r>
        <w:rPr>
          <w:rFonts w:ascii="Georgia" w:hAnsi="Georgia"/>
          <w:b/>
          <w:color w:val="0D2E55"/>
          <w:sz w:val="28"/>
          <w:szCs w:val="28"/>
        </w:rPr>
        <w:t xml:space="preserve">24. WHEN A SERIES GETS SUED — SERVICE OF PROCESS AND LEGAL MAIL</w:t>
      </w:r>
    </w:p>
    <w:p>
      <w:pPr>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§605.2404 at their worst moment. The alert email is not the last step; it is the first.</w:t>
      </w:r>
    </w:p>
    <w:p>
      <w:pPr>
        <w:widowControl/>
        <w:spacing w:after="160"/>
        <w:jc w:val="both"/>
      </w:pPr>
      <w:r>
        <w:rPr>
          <w:rFonts w:ascii="Georgia" w:hAnsi="Georgia"/>
          <w:sz w:val="22"/>
          <w:szCs w:val="22"/>
        </w:rPr>
        <w:t xml:space="preserve">Housekeeping that keeps service working: keep your email address current in the portal (your operating agreement and our terms both require current contact information), and keep the registered agent service paid — an agent's resignation for nonpayment leaves every silo exposed to service you will never see.</w:t>
      </w:r>
    </w:p>
    <w:p>
      <w:pPr>
        <w:keepNext/>
        <w:widowControl/>
        <w:spacing w:before="320" w:after="160"/>
      </w:pPr>
      <w:r>
        <w:rPr>
          <w:rFonts w:ascii="Georgia" w:hAnsi="Georgia"/>
          <w:b/>
          <w:color w:val="0D2E55"/>
          <w:sz w:val="28"/>
          <w:szCs w:val="28"/>
        </w:rPr>
        <w:t xml:space="preserve">25. CROSSING STATE LINES</w:t>
      </w:r>
    </w:p>
    <w:p>
      <w:pPr>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widowControl/>
        <w:spacing w:before="320" w:after="160"/>
      </w:pPr>
      <w:r>
        <w:rPr>
          <w:rFonts w:ascii="Georgia" w:hAnsi="Georgia"/>
          <w:b/>
          <w:color w:val="0D2E55"/>
          <w:sz w:val="28"/>
          <w:szCs w:val="28"/>
        </w:rPr>
        <w:t xml:space="preserve">26. ENDING THINGS — DISSOLVING A SERIES OR THE COMPANY</w:t>
      </w:r>
    </w:p>
    <w:p>
      <w:pPr>
        <w:keepNext/>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the members of the company, by the vote your agreement requires (single-member: you) — the company owns every series, so there are no associated members to consult.</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and distribute the remainder to the company, its sole owner. Its creditors have no recourse to the other silos, and what reaches you comes from the company as a distribution.</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$25, new exhibit, clean history.</w:t>
      </w:r>
    </w:p>
    <w:p>
      <w:pPr>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605.2602–.2604). If a reorganization is ever on the table — selling the whole structure, converting to separate LLCs, moving states — plan it with counsel around these limits.</w:t>
      </w:r>
    </w:p>
    <w:p>
      <w:pPr>
        <w:pageBreakBefore/>
        <w:keepNext/>
        <w:widowControl/>
        <w:spacing w:before="0" w:after="320"/>
      </w:pPr>
      <w:r>
        <w:rPr>
          <w:rFonts w:ascii="Georgia" w:hAnsi="Georgia"/>
          <w:b/>
          <w:color w:val="0D2E55"/>
          <w:sz w:val="40"/>
          <w:szCs w:val="40"/>
        </w:rPr>
        <w:t xml:space="preserve">PART SIX — PRACTICE TOOLS</w:t>
      </w:r>
    </w:p>
    <w:p>
      <w:pPr>
        <w:keepNext/>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at all.</w:t>
      </w:r>
      <w:r>
        <w:rPr>
          <w:rFonts w:ascii="Georgia" w:hAnsi="Georgia"/>
          <w:sz w:val="22"/>
          <w:szCs w:val="22"/>
        </w:rPr>
        <w:t xml:space="preserve"> Each move restarts the asset's association from scratch, with the burden of proof on you under §605.2404 — and an undocumented move, with no consideration, payor, or payee, leaves nothing to carry that burden with. Acquire in the right silo and leave it there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widowControl/>
        <w:spacing w:before="320" w:after="160"/>
      </w:pPr>
      <w:r>
        <w:rPr>
          <w:rFonts w:ascii="Georgia" w:hAnsi="Georgia"/>
          <w:b/>
          <w:color w:val="0D2E55"/>
          <w:sz w:val="28"/>
          <w:szCs w:val="28"/>
        </w:rPr>
        <w:t xml:space="preserve">28. THREE WORKED EXAMPLES</w:t>
      </w:r>
    </w:p>
    <w:p>
      <w:pPr>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($75 total);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The company designates two series: PS 1 holds a duplex, PS 2 a fourplex. </w:t>
      </w:r>
      <w:r>
        <w:rPr>
          <w:rFonts w:ascii="Georgia" w:hAnsi="Georgia"/>
          <w:b/>
          <w:sz w:val="22"/>
          <w:szCs w:val="22"/>
        </w:rPr>
        <w:t xml:space="preserve">Both series are owned by the company, not by Elena or Marco individually</w:t>
      </w:r>
      <w:r>
        <w:rPr>
          <w:rFonts w:ascii="Georgia" w:hAnsi="Georgia"/>
          <w:sz w:val="22"/>
          <w:szCs w:val="22"/>
        </w:rPr>
        <w:t xml:space="preserve"> — that is what the form does, and it is what keeps the tax simple. The mothership holds no real estate. Tax: both series are disregarded to the company, so the structure files </w:t>
      </w:r>
      <w:r>
        <w:rPr>
          <w:rFonts w:ascii="Georgia" w:hAnsi="Georgia"/>
          <w:b/>
          <w:sz w:val="22"/>
          <w:szCs w:val="22"/>
        </w:rPr>
        <w:t xml:space="preserve">one</w:t>
      </w:r>
      <w:r>
        <w:rPr>
          <w:rFonts w:ascii="Georgia" w:hAnsi="Georgia"/>
          <w:sz w:val="22"/>
          <w:szCs w:val="22"/>
        </w:rPr>
        <w:t xml:space="preserve"> Form 1065 and issues two K-1s, 70/30, exactly as it would with no series at all. Elena and Marco share both properties' economics in those proportions; if they wanted the duplex to be Elena's alone, the answer is a separate LLC or a custom-drafted agreement (Section 18), not different owners on different series. Marco's later personal bankruptcy tests the structure: his trustee takes his transferable interest in the company subject to the agreement, faces charging-order exclusivity, the Article 11 executory-contract position, and the company's §10.4 appraisal buyout option — and settles for a payout of Marco's interest at appraised value over time. Both properties stay where they are, and PS 1's tenant lawsuit two years later still reaches only PS 1.</w:t>
      </w:r>
    </w:p>
    <w:p>
      <w:pPr>
        <w:keepNext/>
        <w:widowControl/>
        <w:spacing w:before="320" w:after="160"/>
      </w:pPr>
      <w:r>
        <w:rPr>
          <w:rFonts w:ascii="Georgia" w:hAnsi="Georgia"/>
          <w:b/>
          <w:color w:val="0D2E55"/>
          <w:sz w:val="28"/>
          <w:szCs w:val="28"/>
        </w:rPr>
        <w:t xml:space="preserve">29. THE CHECKLISTS</w:t>
      </w:r>
    </w:p>
    <w:p>
      <w:pPr>
        <w:keepNext/>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asset moved between silos this year; if one did, its memo, consideration, and matching bank entries are on file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widowControl/>
        <w:spacing w:after="160"/>
      </w:pPr>
      <w:r>
        <w:rPr>
          <w:rFonts w:ascii="Georgia" w:hAnsi="Georgia"/>
          <w:sz w:val="22"/>
        </w:rPr>
      </w:r>
    </w:p>
    <w:p>
      <w:pPr>
        <w:keepNext/>
        <w:widowControl/>
        <w:spacing w:after="160"/>
        <w:jc w:val="both"/>
      </w:pPr>
      <w:r>
        <w:rPr>
          <w:rFonts w:ascii="Georgia" w:hAnsi="Georgia"/>
          <w:b/>
          <w:sz w:val="22"/>
          <w:szCs w:val="22"/>
        </w:rPr>
        <w:t xml:space="preserve">A-2. Also on the annual calendar</w:t>
      </w:r>
    </w:p>
    <w:p>
      <w:pPr>
        <w:keepLines/>
        <w:widowControl/>
        <w:spacing w:after="80"/>
        <w:ind w:left="432"/>
        <w:jc w:val="both"/>
      </w:pPr>
      <w:r>
        <w:rPr>
          <w:rFonts w:ascii="Georgia" w:hAnsi="Georgia"/>
          <w:sz w:val="22"/>
          <w:szCs w:val="22"/>
        </w:rPr>
        <w:t xml:space="preserve">[ ] Statement of authority, if you filed one, still within its five-year life — re-file and re-record before it lapses</w:t>
      </w:r>
    </w:p>
    <w:p>
      <w:pPr>
        <w:numPr>
          <w:ilvl w:val="0"/>
          <w:numId w:val="1"/>
        </w:numPr>
        <w:keepLines/>
        <w:widowControl/>
        <w:spacing w:after="80"/>
        <w:jc w:val="both"/>
      </w:pPr>
      <w:r>
        <w:rPr>
          <w:rFonts w:ascii="Georgia" w:hAnsi="Georgia"/>
          <w:sz w:val="22"/>
          <w:szCs w:val="22"/>
        </w:rPr>
        <w:t xml:space="preserve">[ ] Any new county where you bought property this year: certified copy recorded there</w:t>
      </w:r>
    </w:p>
    <w:p>
      <w:pPr>
        <w:keepNext/>
        <w:widowControl/>
        <w:spacing w:after="160"/>
        <w:jc w:val="both"/>
      </w:pPr>
      <w:r>
        <w:rPr>
          <w:rFonts w:ascii="Georgia" w:hAnsi="Georgia"/>
          <w:b/>
          <w:sz w:val="22"/>
          <w:szCs w:val="22"/>
        </w:rPr>
        <w:t xml:space="preserve">B. New-series checklist (every time)</w:t>
      </w:r>
    </w:p>
    <w:p>
      <w:pPr>
        <w:widowControl/>
        <w:spacing w:after="160"/>
        <w:jc w:val="both"/>
      </w:pPr>
      <w:r>
        <w:rPr>
          <w:rFonts w:ascii="Georgia" w:hAnsi="Georgia"/>
          <w:sz w:val="22"/>
          <w:szCs w:val="22"/>
        </w:rPr>
        <w:t xml:space="preserve">☐ All-member consent (documented) → ☐ File designation online ($25) → ☐ Adopt and sign the Series Exhibit (name exactly as filed; purpose; manager; capital — no associated members; the company owns it) → ☐ EIN if needed → ☐ Open the series' bank account → ☐ Fund it (recorded contribution) → ☐ First asset onto the asset schedule → ☐ Insurance in the series' name → ☐ Add the series to the app.</w:t>
      </w:r>
    </w:p>
    <w:p>
      <w:pPr>
        <w:keepNext/>
        <w:widowControl/>
        <w:spacing w:after="160"/>
        <w:jc w:val="both"/>
      </w:pPr>
      <w:r>
        <w:rPr>
          <w:rFonts w:ascii="Georgia" w:hAnsi="Georgia"/>
          <w:b/>
          <w:sz w:val="22"/>
          <w:szCs w:val="22"/>
        </w:rPr>
        <w:t xml:space="preserve">C. Asset-into-series checklist (every asset)</w:t>
      </w:r>
    </w:p>
    <w:p>
      <w:pPr>
        <w:widowControl/>
        <w:spacing w:after="160"/>
        <w:jc w:val="both"/>
      </w:pPr>
      <w:r>
        <w:rPr>
          <w:rFonts w:ascii="Georgia" w:hAnsi="Georgia"/>
          <w:sz w:val="22"/>
          <w:szCs w:val="22"/>
        </w:rPr>
        <w:t xml:space="preserve">☐ Confirm which series (and that its exhibit's purpose covers it) → ☐ Approvals per agreement (multi-member: §5.4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keepNext/>
        <w:widowControl/>
        <w:spacing w:after="160"/>
        <w:jc w:val="both"/>
      </w:pPr>
      <w:r>
        <w:rPr>
          <w:rFonts w:ascii="Georgia" w:hAnsi="Georgia"/>
          <w:b/>
          <w:sz w:val="22"/>
          <w:szCs w:val="22"/>
        </w:rPr>
        <w:t xml:space="preserve">D. Real-estate-specific additions</w:t>
      </w:r>
    </w:p>
    <w:p>
      <w:pPr>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widowControl/>
        <w:spacing w:before="320" w:after="160"/>
      </w:pPr>
      <w:r>
        <w:rPr>
          <w:rFonts w:ascii="Georgia" w:hAnsi="Georgia"/>
          <w:b/>
          <w:color w:val="0D2E55"/>
          <w:sz w:val="28"/>
          <w:szCs w:val="28"/>
        </w:rPr>
        <w:t xml:space="preserve">30. SAMPLE LANGUAGE (COPY CAREFULLY — NAMES EXACTLY AS FILED)</w:t>
      </w:r>
    </w:p>
    <w:p>
      <w:pPr>
        <w:keepNext/>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widowControl/>
        <w:spacing w:after="160"/>
        <w:jc w:val="both"/>
      </w:pPr>
      <w:r>
        <w:rPr>
          <w:rFonts w:ascii="Georgia" w:hAnsi="Georgia"/>
          <w:b/>
          <w:sz w:val="22"/>
          <w:szCs w:val="22"/>
        </w:rPr>
        <w:t xml:space="preserve">Signature block (contracts, leases, closings):</w:t>
      </w:r>
    </w:p>
    <w:p>
      <w:pPr>
        <w:keepNext/>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widowControl/>
        <w:spacing w:before="320" w:after="160"/>
      </w:pPr>
      <w:r>
        <w:rPr>
          <w:rFonts w:ascii="Georgia" w:hAnsi="Georgia"/>
          <w:b/>
          <w:color w:val="0D2E55"/>
          <w:sz w:val="28"/>
          <w:szCs w:val="28"/>
        </w:rPr>
        <w:t xml:space="preserve">31. GLOSSARY</w:t>
      </w:r>
    </w:p>
    <w:p>
      <w:pPr>
        <w:widowControl/>
        <w:spacing w:after="160"/>
        <w:jc w:val="both"/>
      </w:pPr>
      <w:r>
        <w:rPr>
          <w:rFonts w:ascii="Georgia" w:hAnsi="Georgia"/>
          <w:b/>
          <w:sz w:val="22"/>
          <w:szCs w:val="22"/>
        </w:rPr>
        <w:t xml:space="preserve">Administrative dissolution</w:t>
      </w:r>
      <w:r>
        <w:rPr>
          <w:rFonts w:ascii="Georgia" w:hAnsi="Georgia"/>
          <w:sz w:val="22"/>
          <w:szCs w:val="22"/>
        </w:rPr>
        <w:t xml:space="preserve"> — the state's termination of an LLC for ignoring filing duties; kills every series with the company.</w:t>
      </w:r>
    </w:p>
    <w:p>
      <w:pPr>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who manages the company, and who manages a particular series. Manager-managed forms: the company's Manager, unless a Series Exhibit names someone else for that series. Member-managed forms: the owners, and in a single-owner company, you.</w:t>
      </w:r>
    </w:p>
    <w:p>
      <w:pPr>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widowControl/>
        <w:spacing w:before="320" w:after="160"/>
      </w:pPr>
      <w:r>
        <w:rPr>
          <w:rFonts w:ascii="Georgia" w:hAnsi="Georgia"/>
          <w:b/>
          <w:color w:val="0D2E55"/>
          <w:sz w:val="28"/>
          <w:szCs w:val="28"/>
        </w:rPr>
        <w:t xml:space="preserve">32. FREQUENTLY ASKED QUESTIONS</w:t>
      </w:r>
    </w:p>
    <w:p>
      <w:pPr>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is a $25 online filing plus a Series Exhibit — and, more importantly, a silo you must actually maintain. Add series for real compartments, not for sport.</w:t>
      </w:r>
    </w:p>
    <w:p>
      <w:pPr>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widowControl/>
        <w:spacing w:before="200" w:after="80"/>
      </w:pPr>
      <w:r>
        <w:rPr>
          <w:rFonts w:ascii="Georgia" w:hAnsi="Georgia"/>
          <w:b/>
          <w:sz w:val="24"/>
          <w:szCs w:val="24"/>
        </w:rPr>
        <w:t xml:space="preserve">ABOUT MYFLORIDASERIESLLC</w:t>
      </w:r>
    </w:p>
    <w:p>
      <w:pPr>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605.0503, 605.2101–605.2802 (including 605.2201, 605.2202, 605.2301, 605.2401, 605.2404, 605.2602–605.2604), 711.50–711.512; Ch. 726; Prop. Treas. Reg. §301.7701-1(a)(5); FinCEN interim final rule (Mar. 2025);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