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the Member. Because no Protected Series has an Associated Member, the Company is the protected-series manager of each Protected Series under s. 605.2304(2), Florida Statutes; it acts in that capacity through the Member.</w:t>
      </w:r>
    </w:p>
    <w:p>
      <w:pPr>
        <w:keepLines/>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the Member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