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1.10A Membership Interest.</w:t>
      </w:r>
      <w:r>
        <w:rPr>
          <w:rFonts w:ascii="Times New Roman" w:hAnsi="Times New Roman"/>
          <w:sz w:val="24"/>
          <w:szCs w:val="24"/>
        </w:rPr>
        <w:t xml:space="preserve">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 The classification of the Company and of each Protected Series shall in all events be determined under federal tax law as applied to each of them, and nothing in this Agreement constitutes tax advice or a guarantee of any particular tax treatment.</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b/>
          <w:sz w:val="24"/>
          <w:szCs w:val="24"/>
        </w:rPr>
        <w:t xml:space="preserve">9.5 S Corporation Election.</w:t>
      </w:r>
      <w:r>
        <w:rPr>
          <w:rFonts w:ascii="Times New Roman" w:hAnsi="Times New Roman"/>
          <w:sz w:val="24"/>
          <w:szCs w:val="24"/>
        </w:rPr>
        <w:t xml:space="preserve"> The Member may cause the Company to elect classification as an association taxable as a corporation and S corporation status under section 1362 of the Code. Before or promptly upon making any such election, the Member shall amend and restate this Agreement in the Company's S corporation form of operating agreement, under which all allocations and distributions are made strictly pro rata and every ownership interest confers identical rights to distributions and liquidation proceeds.</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