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  </w:t>
      </w: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in Interest.</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of the Company, and no person shall be designated or hold out as a manager of the Company. The Members serve as protected-series managers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account balances;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the Administrative Member may amend Exhibit A and the Series Exhibits without further consent solely to record changes duly made under this Agreement (admissions, Transfers, TOD designations, capital adjustments under Section 6.3).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as [HOLDING]</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(effective at the death of the last surviving spouse)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in this form: ss. 48.062, 605.0102, 605.0302, 605.0502, 605.0503, 605.0702, 605.2101, 605.2103, 605.2107, 605.2201, 605.2301, 605.2302, 605.2303, 605.2304, 605.2401, 605.2602, 605.2605, 605.2607, 605.2802, 605.04091, 711.50, 711.501, 711.512, Fla. Stat.; 11 U.S.C. §365; In re Soderstrom, 484 B.R. 874 (M.D. Fla. 2013). Internal Revenue Code sections: 704, 754, 6221, 6223, 6226.</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