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Florida's Uniform Protected Series Provisions</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The standing association rules in Section 8.5 make the agreement </w:t>
      </w:r>
      <w:r>
        <w:rPr>
          <w:rFonts w:ascii="Georgia" w:hAnsi="Georgia"/>
          <w:i/>
          <w:sz w:val="22"/>
          <w:szCs w:val="22"/>
        </w:rPr>
        <w:t xml:space="preserve">itself</w:t>
      </w:r>
      <w:r>
        <w:rPr>
          <w:rFonts w:ascii="Georgia" w:hAnsi="Georgia"/>
          <w:sz w:val="22"/>
          <w:szCs w:val="22"/>
        </w:rPr>
        <w:t xml:space="preserve"> part of your records and help determine where assets belong. They work alongside real ledgers and real bank accounts, not instead of them. Missing records can leave an asset non-associated; the default rule does not replace the identifying, acquisition, and transfer information the statute requires.</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$50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separate company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(Section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Florida's default rule requires the affirmative vote or consent of </w:t>
      </w:r>
      <w:r>
        <w:rPr>
          <w:rFonts w:ascii="Georgia" w:hAnsi="Georgia"/>
          <w:b/>
          <w:sz w:val="22"/>
          <w:szCs w:val="22"/>
        </w:rPr>
        <w:t xml:space="preserve">all members</w:t>
      </w:r>
      <w:r>
        <w:rPr>
          <w:rFonts w:ascii="Georgia" w:hAnsi="Georgia"/>
          <w:sz w:val="22"/>
          <w:szCs w:val="22"/>
        </w:rPr>
        <w:t xml:space="preserve"> to establish a protected series (s. 605.2201(1)). The statute allows an operating agreement to choose a different approval rule (s. 605.2107(1)(i)). Section 3.1 of your agreement retains unanimous consent.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under Section 3.1, retaining the statutory default),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separate company manager: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with any additional authority expressly granted by the agreement or by owners holding a Majority in Interest).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in Section 8.5 — and the holding rule (§8.4): hold assets in the owning company's or series' name, or through a properly documented nominee arrangement under Section 8.4 — not simply in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without the consent of every owner. A guarantee of anyone's obligation, of any amount, may not be given without the consent of every owner.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owners holding more than 50% of the ownership interests held by members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Georgia" w:hAnsi="Georgia"/>
          <w:i/>
          <w:sz w:val="22"/>
          <w:szCs w:val="22"/>
        </w:rPr>
        <w:t xml:space="preserve">other</w:t>
      </w:r>
      <w:r>
        <w:rPr>
          <w:rFonts w:ascii="Georgia" w:hAnsi="Georgia"/>
          <w:sz w:val="22"/>
          <w:szCs w:val="22"/>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Unequal ownership alone does not eliminate the need for a deadlock plan.</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in Section 8.5)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 disregarded company ordinarily becomes a partnership for federal income-tax purposes when a second owner is admitted. An existing S election does not end merely because a second eligible owner joins.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The standing association rules help determine where assets belong, but they do not replace the required records. Missing records can leave an asset non-associated. Keep the mothership asset-light and document every asset.</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(s.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s.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Outside Miami-Dade County, the rate is 70 cents per $100 or fraction of taxable consideration. Miami-Dade charges 60 cents per $100 or fraction, plus a 45-cent surtax unless only a single-family dwelling is transferred. Mortgaged-property transfers can be taxable without cash changing hands. At the outside-Miami-Dade rate, $300,000 of taxable consideration means $2,100 in tax. Unencumbered, no-consideration transfers require separate analysis. Confirm consideration, rate and exemptions with your closing agent or CPA before recording.</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Document every transfer between you and the company or a series: contributions, distributions, loans, repayments, and legitimate expense reimbursements. Identify the parties and purpose, and use the correct account.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s.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s.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separate federal income-tax return for the disregarded LLC. Its activity is reported through its tax owner. An individual generally uses the applicable schedules of Form 1040 or 1040-SR; other owners use their applicable reporting rules.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an EIN identifies the company for those purposes. </w:t>
      </w:r>
      <w:r>
        <w:rPr>
          <w:rFonts w:ascii="Georgia" w:hAnsi="Georgia"/>
          <w:b/>
          <w:sz w:val="22"/>
          <w:szCs w:val="22"/>
        </w:rPr>
        <w:t xml:space="preserve">A W-9 identifies the taxpayer.</w:t>
      </w:r>
      <w:r>
        <w:rPr>
          <w:rFonts w:ascii="Georgia" w:hAnsi="Georgia"/>
          <w:sz w:val="22"/>
          <w:szCs w:val="22"/>
        </w:rPr>
        <w:t xml:space="preserve"> For a disregarded entity, use the tax owner's name and taxpayer identification number as the W-9 instructions require, and identify the disregarded entity on line 2.</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requires an EIN for its records</w:t>
      </w:r>
      <w:r>
        <w:rPr>
          <w:rFonts w:ascii="Georgia" w:hAnsi="Georgia"/>
          <w:sz w:val="22"/>
          <w:szCs w:val="22"/>
        </w:rPr>
        <w:t xml:space="preserve"> — a lender, title company, insurer, or property manager. Distinguish that request from a W-9: a W-9 identifies the tax owner under the form's instructions. That tax identification is different from the series' name on its contracts and bank accounts.</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(where the company itself is disregarded, its activity is reported through its tax owner; an individual generally uses the applicable schedules of Form 1040 or 1040-SR, while other owners use their applicable reporting rules).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Administrative dissolution restricts the company to winding up; it does not automatically remove its liability protections. Keep the required records and resolve the lapse promptly.</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final rule, effective August 14, 2026, retained the exemption for U.S.-formed companies. A Florida LLC formed in Florida does not file a federal beneficial ownership report under that rule, and its owners do not submit one for that company.</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Conduct that can undermine the shields:</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owners holding a Majority in Interest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describes the members' continuing managerial and governance obligations and states that the agreement is intended to be an executory contract under 11 U.S.C. §365. Section 11.2 requires the other members' prior written consent before a bankruptcy trustee or debtor in possession may assume or assign a debtor-member's governance or management rights, or cause a substitute to be admitted as a member, under §365(c)(1) and applicable Florida law. This separates control of the company from the economic interest: the section does not limit the bankruptcy estate's interest in the debtor-member's transferable economic interest to the extent permitted by applicable law. It is not a promise that economic rights cannot enter the estate or be sold. The provision's effect depends on applicable law and the bankruptcy court's decision; no drafting guarantees an outcome.</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an individual member register a transfer-on-death beneficiary (an owner that is a company or trust cannot make this designation, nor can co-owners holding an interest as tenants in common) — anyone the member chooses, subject to the professional-owner eligibility requirements on the professional LLC forms and the eligible-shareholder rule on the S corporation forms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after delivering a signed agreement to be bound and obtaining written consent from owners holding more than 50% of the ownership interests held by the remaining members. A permitted family transferee needs the same admission approval, excluding the transferring owner; other new members need every member's written consent and a signed agreement to be bound. Permission to transfer an interest and admission as a voting member are separate requirements.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s.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so notices reach you,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s.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(her first three series are included in the service package);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220.02, 605.0302, 605.0410, 605.0503, 605.0602, 605.0714, 605.1103, 605.04074, 605.2101–605.2802, 711.50–711.512; former s. 212.031 (historical commercial-rent tax); Ch. 726; Prop. Treas. Reg. §301.7701-1(a)(5); FinCEN final rule (effective Aug. 14, 2026; fincen.gov/boi);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