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(Member-Managed — S Corporation)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and the Members.</w:t>
      </w:r>
    </w:p>
    <w:p>
      <w:pPr>
        <w:keepNext/>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Administrative Member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a Majority in Interest may determine. A Protected Series may maintain its own place of business as determined by a Majority in Interest.</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Administrative Member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Administrative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"Administrative Member"</w:t>
      </w:r>
      <w:r>
        <w:rPr>
          <w:rFonts w:ascii="Times New Roman" w:hAnsi="Times New Roman"/>
          <w:sz w:val="24"/>
          <w:szCs w:val="24"/>
        </w:rPr>
        <w:t xml:space="preserve"> means the Member designated under Section 5.8 to perform the ministerial functions assigned to that role by this Agreement, and any successor so designated. The Administrative Member has no authority beyond that expressly conferred by this Agreement or by a Majority in Interest.</w:t>
      </w:r>
    </w:p>
    <w:p>
      <w:pPr>
        <w:widowControl/>
        <w:spacing w:after="160"/>
        <w:jc w:val="both"/>
      </w:pPr>
      <w:r>
        <w:rPr>
          <w:rFonts w:ascii="Times New Roman" w:hAnsi="Times New Roman"/>
          <w:b/>
          <w:sz w:val="24"/>
          <w:szCs w:val="24"/>
        </w:rPr>
        <w:t xml:space="preserve">2.3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2.4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2.5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2.6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2.7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2.8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2.9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widowControl/>
        <w:spacing w:after="160"/>
        <w:jc w:val="both"/>
      </w:pPr>
      <w:r>
        <w:rPr>
          <w:rFonts w:ascii="Times New Roman" w:hAnsi="Times New Roman"/>
          <w:b/>
          <w:sz w:val="24"/>
          <w:szCs w:val="24"/>
        </w:rPr>
        <w:t xml:space="preserve">2.10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widowControl/>
        <w:spacing w:after="160"/>
        <w:jc w:val="both"/>
      </w:pPr>
      <w:r>
        <w:rPr>
          <w:rFonts w:ascii="Times New Roman" w:hAnsi="Times New Roman"/>
          <w:b/>
          <w:sz w:val="24"/>
          <w:szCs w:val="24"/>
        </w:rPr>
        <w:t xml:space="preserve">2.11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widowControl/>
        <w:spacing w:after="160"/>
        <w:jc w:val="both"/>
      </w:pPr>
      <w:r>
        <w:rPr>
          <w:rFonts w:ascii="Times New Roman" w:hAnsi="Times New Roman"/>
          <w:b/>
          <w:sz w:val="24"/>
          <w:szCs w:val="24"/>
        </w:rPr>
        <w:t xml:space="preserve">2.12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2.13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widowControl/>
        <w:spacing w:after="160"/>
        <w:jc w:val="both"/>
      </w:pPr>
      <w:r>
        <w:rPr>
          <w:rFonts w:ascii="Times New Roman" w:hAnsi="Times New Roman"/>
          <w:b/>
          <w:sz w:val="24"/>
          <w:szCs w:val="24"/>
        </w:rPr>
        <w:t xml:space="preserve">2.14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2.15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2.16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widowControl/>
        <w:spacing w:after="160"/>
        <w:jc w:val="both"/>
      </w:pPr>
      <w:r>
        <w:rPr>
          <w:rFonts w:ascii="Times New Roman" w:hAnsi="Times New Roman"/>
          <w:b/>
          <w:sz w:val="24"/>
          <w:szCs w:val="24"/>
        </w:rPr>
        <w:t xml:space="preserve">2.17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shall adopt a Series Exhibit for the new Protected Series. The Administrative Member is authorized to execute and file each Protected Series Designation approved under this Section.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each Member;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as ss. 605.2602 and 605.2605–605.2607, Florida Statutes, permit;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No Member is personally liable, directly or indirectly, by way of contribution or otherwise, for any debt, obligation, or liability of the Company or of any Protected Series solely by reason of being or acting as a member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MEMBERS; VOTING; MEMBER DUTIES</w:t>
      </w:r>
    </w:p>
    <w:p>
      <w:pPr>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a Majority in Interest determines otherwise. Each Member's interest in the Company is personal property for all purposes.</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entirety or as joint tenants with right of survivorship shall be voted only by the consensus of both spouses; neither spouse acting alone may vote the interest except as the other spouse's attorney-in-fact under a duly executed power of attorney.</w:t>
      </w:r>
    </w:p>
    <w:p>
      <w:pPr>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Administrative Member for the Company's or a Protected Series' filings, records, and tax reporting, and executing and delivering instruments reasonably required to carry out actions duly approved under this Agreement.</w:t>
      </w:r>
    </w:p>
    <w:p>
      <w:pPr>
        <w:keepNext/>
        <w:widowControl/>
        <w:spacing w:after="160"/>
        <w:jc w:val="both"/>
      </w:pPr>
      <w:r>
        <w:rPr>
          <w:rFonts w:ascii="Times New Roman" w:hAnsi="Times New Roman"/>
          <w:b/>
          <w:sz w:val="24"/>
          <w:szCs w:val="24"/>
        </w:rPr>
        <w:t xml:space="preserve">4.7 Competition. [SELECT ONE ALTERNATIVE — see Instructions]</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Subject to Section 9.3(b), a Member who is an individual may designate any person or entity as a beneficiary. A designation may name a backup beneficiary to take if the first beneficiary does not survive the Member. Members who hold a Membership Interest jointly as tenants in common may not designate a TOD beneficiary. A Member may change, delete, or add a TOD designation by a signed writing, witnessed by two witnesses, delivered to the Administrative Member; the change is effective upon receipt unless the Administrative Member objects in writing within seven (7) days, and the Administrative Member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widowControl/>
        <w:spacing w:after="160"/>
        <w:jc w:val="both"/>
      </w:pPr>
      <w:r>
        <w:rPr>
          <w:rFonts w:ascii="Times New Roman" w:hAnsi="Times New Roman"/>
          <w:b/>
          <w:sz w:val="24"/>
          <w:szCs w:val="24"/>
        </w:rPr>
        <w:t xml:space="preserve">4.12 Incapacity of a Member.</w:t>
      </w:r>
      <w:r>
        <w:rPr>
          <w:rFonts w:ascii="Times New Roman" w:hAnsi="Times New Roman"/>
          <w:sz w:val="24"/>
          <w:szCs w:val="24"/>
        </w:rPr>
        <w:t xml:space="preserve">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and the other Members may rely on a certified copy of the power of attorney or of the letters of guardianship without further inquiry.</w:t>
      </w:r>
    </w:p>
    <w:p>
      <w:pPr>
        <w:keepNext/>
        <w:widowControl/>
        <w:spacing w:before="240" w:after="200"/>
      </w:pPr>
      <w:r>
        <w:rPr>
          <w:rFonts w:ascii="Times New Roman" w:hAnsi="Times New Roman"/>
          <w:b/>
          <w:sz w:val="26"/>
          <w:szCs w:val="26"/>
        </w:rPr>
        <w:t xml:space="preserve">ARTICLE 5 — MANAGEMENT BY THE MEMBERS</w:t>
      </w:r>
    </w:p>
    <w:p>
      <w:pPr>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Members. There is no manager, and no person shall be designated or hold out as a manager of the Company or of any Protected Series.</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managed by the Members. As permitted by s. 605.2107(1)(n), Florida Statutes, this Section varies s. 605.2304(2) so that the Members, rather than the Company, are the protected-series managers of each Protected Series. Every decision with respect to a Protected Series is made by a Majority in Interest of the Members as provided in Section 5.3, and the Administrative Member performs for each Protected Series the ministerial functions described in Section 5.8. The Members have, with respect to each Protected Series, the rights, powers, and duties of protected-series managers under the Act, subject to this Agreement and the Series Exhibit.</w:t>
      </w:r>
    </w:p>
    <w:p>
      <w:pPr>
        <w:widowControl/>
        <w:spacing w:after="160"/>
        <w:jc w:val="both"/>
      </w:pPr>
      <w:r>
        <w:rPr>
          <w:rFonts w:ascii="Times New Roman" w:hAnsi="Times New Roman"/>
          <w:b/>
          <w:sz w:val="24"/>
          <w:szCs w:val="24"/>
        </w:rPr>
        <w:t xml:space="preserve">5.3 Voting; Decisions.</w:t>
      </w:r>
      <w:r>
        <w:rPr>
          <w:rFonts w:ascii="Times New Roman" w:hAnsi="Times New Roman"/>
          <w:sz w:val="24"/>
          <w:szCs w:val="24"/>
        </w:rPr>
        <w:t xml:space="preserve"> Each Member's vote is proportionate to that Member's Percentage Interest. Except where this Agreement or the Act requires a greater vote, any act may be undertaken, and any difference among the Members may be decided, by a Majority in Interest — whether the act is within or outside the ordinary course of the activities and affairs of the Company or the applicable Protected Series.</w:t>
      </w:r>
    </w:p>
    <w:p>
      <w:pPr>
        <w:keepNext/>
        <w:widowControl/>
        <w:spacing w:after="160"/>
        <w:jc w:val="both"/>
      </w:pPr>
      <w:r>
        <w:rPr>
          <w:rFonts w:ascii="Times New Roman" w:hAnsi="Times New Roman"/>
          <w:b/>
          <w:sz w:val="24"/>
          <w:szCs w:val="24"/>
        </w:rPr>
        <w:t xml:space="preserve">5.4 Authority to Act; Limits on Authority.</w:t>
      </w:r>
      <w:r>
        <w:rPr>
          <w:rFonts w:ascii="Times New Roman" w:hAnsi="Times New Roman"/>
          <w:sz w:val="24"/>
          <w:szCs w:val="24"/>
        </w:rPr>
        <w:t xml:space="preserve"> Each Member is an agent of the Company for the purpose of its activities and affairs to the extent provided by the Act. As among the Members, and notwithstanding that authority:</w:t>
      </w:r>
    </w:p>
    <w:p>
      <w:pPr>
        <w:widowControl/>
        <w:spacing w:after="160"/>
        <w:jc w:val="both"/>
      </w:pPr>
      <w:r>
        <w:rPr>
          <w:rFonts w:ascii="Times New Roman" w:hAnsi="Times New Roman"/>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widowControl/>
        <w:spacing w:after="160"/>
        <w:jc w:val="both"/>
      </w:pPr>
      <w:r>
        <w:rPr>
          <w:rFonts w:ascii="Times New Roman" w:hAnsi="Times New Roman"/>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widowControl/>
        <w:spacing w:after="160"/>
        <w:jc w:val="both"/>
      </w:pPr>
      <w:r>
        <w:rPr>
          <w:rFonts w:ascii="Times New Roman" w:hAnsi="Times New Roman"/>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Next/>
        <w:widowControl/>
        <w:spacing w:after="160"/>
        <w:jc w:val="both"/>
      </w:pPr>
      <w:r>
        <w:rPr>
          <w:rFonts w:ascii="Times New Roman" w:hAnsi="Times New Roman"/>
          <w:b/>
          <w:sz w:val="24"/>
          <w:szCs w:val="24"/>
        </w:rPr>
        <w:t xml:space="preserve">5.5 Actions Requiring Member Approval.</w:t>
      </w:r>
      <w:r>
        <w:rPr>
          <w:rFonts w:ascii="Times New Roman" w:hAnsi="Times New Roman"/>
          <w:sz w:val="24"/>
          <w:szCs w:val="24"/>
        </w:rPr>
        <w:t xml:space="preserve"> No Member shall do any of the following without the approval stated:</w:t>
      </w:r>
    </w:p>
    <w:p>
      <w:pPr>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cause any Associated Asset to become an Associated Asset of the Company or of a different Protected Series</w:t>
      </w:r>
      <w:r>
        <w:rPr>
          <w:rFonts w:ascii="Times New Roman" w:hAnsi="Times New Roman"/>
          <w:sz w:val="24"/>
          <w:szCs w:val="24"/>
        </w:rPr>
        <w:t xml:space="preserve"> — the consent of a Majority in Interest;</w:t>
      </w:r>
    </w:p>
    <w:p>
      <w:pPr>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widowControl/>
        <w:spacing w:after="160"/>
        <w:jc w:val="both"/>
      </w:pPr>
      <w:r>
        <w:rPr>
          <w:rFonts w:ascii="Times New Roman" w:hAnsi="Times New Roman"/>
          <w:sz w:val="24"/>
          <w:szCs w:val="24"/>
        </w:rPr>
        <w:t xml:space="preserve">(e) admit any additional Member — the approval required by Article 12;</w:t>
      </w:r>
    </w:p>
    <w:p>
      <w:pPr>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(g) lend money of the Company or of a Protected Series to, or borrow from, a Member or an affiliate of a Member, other than loans under Section 6.5 — the consent of a Majority in Interest of the disinterested Members;</w:t>
      </w:r>
    </w:p>
    <w:p>
      <w:pPr>
        <w:widowControl/>
        <w:spacing w:after="160"/>
        <w:jc w:val="both"/>
      </w:pPr>
      <w:r>
        <w:rPr>
          <w:rFonts w:ascii="Times New Roman" w:hAnsi="Times New Roman"/>
          <w:sz w:val="24"/>
          <w:szCs w:val="24"/>
        </w:rPr>
        <w:t xml:space="preserve">(h) amend this Agreement or any Series Exhibit — the approval required by Section 15.1; or</w:t>
      </w:r>
    </w:p>
    <w:p>
      <w:pPr>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b/>
          <w:sz w:val="24"/>
          <w:szCs w:val="24"/>
        </w:rPr>
        <w:t xml:space="preserve">5.6 Standard of Conduct; Exculpation.</w:t>
      </w:r>
      <w:r>
        <w:rPr>
          <w:rFonts w:ascii="Times New Roman" w:hAnsi="Times New Roman"/>
          <w:sz w:val="24"/>
          <w:szCs w:val="24"/>
        </w:rPr>
        <w:t xml:space="preserve"> Each Member shall discharge the duties of a member of a member-managed limited liability company consistent with the Act. No Member shall be liable to the Company, any Protected Series, or any other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5.7 Indemnification.</w:t>
      </w:r>
      <w:r>
        <w:rPr>
          <w:rFonts w:ascii="Times New Roman" w:hAnsi="Times New Roman"/>
          <w:sz w:val="24"/>
          <w:szCs w:val="24"/>
        </w:rPr>
        <w:t xml:space="preserve"> The Company shall indemnify each Member, and each Protected Series shall indemnify the Company and each Member acting for the Company with respect to that Protected Series,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widowControl/>
        <w:spacing w:after="160"/>
        <w:jc w:val="both"/>
      </w:pPr>
      <w:r>
        <w:rPr>
          <w:rFonts w:ascii="Times New Roman" w:hAnsi="Times New Roman"/>
          <w:b/>
          <w:sz w:val="24"/>
          <w:szCs w:val="24"/>
        </w:rPr>
        <w:t xml:space="preserve">5.8 Administrative Member.</w:t>
      </w:r>
      <w:r>
        <w:rPr>
          <w:rFonts w:ascii="Times New Roman" w:hAnsi="Times New Roman"/>
          <w:sz w:val="24"/>
          <w:szCs w:val="24"/>
        </w:rPr>
        <w:t xml:space="preserve">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The Administrative Member serves at the pleasure of a Majority in Interest, has no authority beyond that expressly conferred by this Agreement or by a Majority in Interest, and is not a manager of the Company. Until a designation is made, and whenever the office is vacant, the functions of the Administrative Member shall be performed by a Majority in Interest.</w:t>
      </w:r>
    </w:p>
    <w:p>
      <w:pPr>
        <w:widowControl/>
        <w:spacing w:after="160"/>
        <w:jc w:val="both"/>
      </w:pPr>
      <w:r>
        <w:rPr>
          <w:rFonts w:ascii="Times New Roman" w:hAnsi="Times New Roman"/>
          <w:b/>
          <w:sz w:val="24"/>
          <w:szCs w:val="24"/>
        </w:rPr>
        <w:t xml:space="preserve">5.9 Statement of Authority.</w:t>
      </w:r>
      <w:r>
        <w:rPr>
          <w:rFonts w:ascii="Times New Roman" w:hAnsi="Times New Roman"/>
          <w:sz w:val="24"/>
          <w:szCs w:val="24"/>
        </w:rPr>
        <w:t xml:space="preserve"> With the consent of all Members required by Section 5.5(i), the Members may cause the Company to file with the Department a statement of authority under s. 605.0302, Florida Statutes, stating the authority, or the limitations on the authority, of Members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the Members shall cause it to be amended or cancelled as necessary to keep it accurate. The limitations in Section 5.4(b) apply among the Members whether or not a statement of authority is filed or recorded.</w:t>
      </w:r>
    </w:p>
    <w:p>
      <w:pPr>
        <w:widowControl/>
        <w:spacing w:after="160"/>
        <w:jc w:val="both"/>
      </w:pPr>
      <w:r>
        <w:rPr>
          <w:rFonts w:ascii="Times New Roman" w:hAnsi="Times New Roman"/>
          <w:b/>
          <w:sz w:val="24"/>
          <w:szCs w:val="24"/>
        </w:rPr>
        <w:t xml:space="preserve">5.10 Compensation; Reimbursement; Shared Expenses.</w:t>
      </w:r>
      <w:r>
        <w:rPr>
          <w:rFonts w:ascii="Times New Roman" w:hAnsi="Times New Roman"/>
          <w:sz w:val="24"/>
          <w:szCs w:val="24"/>
        </w:rPr>
        <w:t xml:space="preserve"> No Member shall receive a salary for acting in the management of the 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6.6 Contribution Records; Identical Rights.</w:t>
      </w:r>
      <w:r>
        <w:rPr>
          <w:rFonts w:ascii="Times New Roman" w:hAnsi="Times New Roman"/>
          <w:sz w:val="24"/>
          <w:szCs w:val="24"/>
        </w:rPr>
        <w:t xml:space="preserve"> The Company shall maintain a record of each Member's contributions to the Company and to each Protected Series. Contributions do not bear interest and confer no priority or preference of any kind: every Membership Interest carries rights to allocations, distributions, and liquidation proceeds identical in proportion to Percentage Interests. Nothing in this Agreement personally obligates any Member to contribute capital beyond the contributions required by Sections 6.1 and 6.2.</w:t>
      </w:r>
    </w:p>
    <w:p>
      <w:pPr>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ALLOCATIONS AND DISTRIBUTIONS</w:t>
      </w:r>
    </w:p>
    <w:p>
      <w:pPr>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All items of income, gain, loss, deduction, and credit of the Company and of each Protected Series shall be allocated among the Members strictly pro rata in accordance with their Percentage Interests, consistent with sections 1366 and 1377 of the Internal Revenue Code of 1986, as amended (the "Code").</w:t>
      </w:r>
    </w:p>
    <w:p>
      <w:pPr>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A Majority in Interest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strictly pro rata in accordance with their Percentage Interests, and every such distribution shall confer identical rights on every Membership Interest. Each distribution shall be recorded in the records maintained under Article 8, identifying its source.</w:t>
      </w:r>
    </w:p>
    <w:p>
      <w:pPr>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a Majority in Interest may cause distributions to be made intended to enable the Members to satisfy federal and state income tax liabilities attributable to the Company's income, made strictly pro rata in accordance with Percentage Interests, and is authorized to pay any such amount directly to the government agency responsible for collection on a Member's behalf, with any amount so paid treated as distributed to that Member. A tax distribution funded from the Associated Assets of a Protected Series shall be made by that Protected Series to the Company and distributed by the Company to the Members, and is treated as an advance against later distributions under Section 7.2.</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Administrative Member shall maintain, for the Company and for each Protected Series, the records described in this Article. Members' inspection rights are as stated in Section 4.10.</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Administrative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Administrative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Each Member shall execute the consents and other instruments (including IRS Form 2553) necessary or appropriate to make and maintain the election, and no election shall be revoked without the affirmative vote or consent of all Members.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Administrative Member shall cause to be prepared and filed all tax returns required of the Company (including Form 1120-S) and of each Protected Series, if necessary or required, and shall deliver to each Member, after the end of each fiscal year, the information (including Schedule K-1) necessary for the Member's returns.</w:t>
      </w:r>
    </w:p>
    <w:p>
      <w:pPr>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 (a) no Transfer of any Membership Interest or transferable interest may be made to any person who is not an eligible S corporation shareholder, or that would cause the number of shareholders to exceed the limit of section 1361 of the Code, and any purported Transfer in violation of this clause is null and void ab initio and shall be given no force or effect for any purpose; (b) a TOD designation under Section 4.11 is effective only in favor of a beneficiary that is an eligible S corporation shareholder; and (c) no Protected Series may be established, and no interest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keepNext/>
        <w:widowControl/>
        <w:spacing w:after="160"/>
        <w:jc w:val="both"/>
      </w:pPr>
      <w:r>
        <w:rPr>
          <w:rFonts w:ascii="Times New Roman" w:hAnsi="Times New Roman"/>
          <w:b/>
          <w:sz w:val="24"/>
          <w:szCs w:val="24"/>
        </w:rPr>
        <w:t xml:space="preserve">9.4 S Corporation Status; Intent; Savings Clause.</w:t>
      </w:r>
    </w:p>
    <w:p>
      <w:pPr>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Members that the Company qualify at all times as a small business corporation eligible for a valid election under section 1362 of the Code, that the election be and remain in effect, and that this Agreement, each Series Exhibit, and every other agreement among the Members relating to the Company or any Protected Series be interpreted, applied, and administered consistent with that intent.</w:t>
      </w:r>
    </w:p>
    <w:p>
      <w:pPr>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No Member,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widowControl/>
        <w:spacing w:after="160"/>
        <w:jc w:val="both"/>
      </w:pPr>
      <w:r>
        <w:rPr>
          <w:rFonts w:ascii="Times New Roman" w:hAnsi="Times New Roman"/>
          <w:b/>
          <w:sz w:val="24"/>
          <w:szCs w:val="24"/>
        </w:rPr>
        <w:t xml:space="preserve">(d) Pro rata in all events.</w:t>
      </w:r>
      <w:r>
        <w:rPr>
          <w:rFonts w:ascii="Times New Roman" w:hAnsi="Times New Roman"/>
          <w:sz w:val="24"/>
          <w:szCs w:val="24"/>
        </w:rPr>
        <w:t xml:space="preserve">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Members shall cooperate to obtain relief for an inadvertent termination or invalid election under section 1362(f) of the Code, including making the adjustments and taking the actions the Internal Revenue Service may require.</w:t>
      </w:r>
    </w:p>
    <w:p>
      <w:pPr>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A Majority in Interest may make, change, or revoke any other tax election for the Company or any Protected Series that is consistent with maintaining the S corporation election and that it determines to be in the best interests of the Members as a whole.</w:t>
      </w:r>
    </w:p>
    <w:p>
      <w:pPr>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a Majority in Interest.</w:t>
      </w:r>
    </w:p>
    <w:p>
      <w:pPr>
        <w:keepNext/>
        <w:widowControl/>
        <w:spacing w:before="240" w:after="200"/>
      </w:pPr>
      <w:r>
        <w:rPr>
          <w:rFonts w:ascii="Times New Roman" w:hAnsi="Times New Roman"/>
          <w:b/>
          <w:sz w:val="26"/>
          <w:szCs w:val="26"/>
        </w:rPr>
        <w:t xml:space="preserve">ARTICLE 10 — TRANSFERS; CREDITOR PROVISIONS</w:t>
      </w:r>
    </w:p>
    <w:p>
      <w:pPr>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a Majority in Interest of the Members other than the transferring Member. Any purported Transfer in violation of this Article is void to the fullest extent permitted by law, and the transferee acquires no rights other than those, if any, mandated by the Act.</w:t>
      </w:r>
    </w:p>
    <w:p>
      <w:pPr>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a Majority in Interest of the Members other than the affected Member at any time within ninety (90) days after the Company receives written notice that the Involuntary Transfer has occurred, to acquire the interest that is the subject of the Involuntary Transfer at its fair value. Fair value shall be the value agreed in writing between the Company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a Majority in Interest,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widowControl/>
        <w:spacing w:before="240" w:after="200"/>
      </w:pPr>
      <w:r>
        <w:rPr>
          <w:rFonts w:ascii="Times New Roman" w:hAnsi="Times New Roman"/>
          <w:b/>
          <w:sz w:val="26"/>
          <w:szCs w:val="26"/>
        </w:rPr>
        <w:t xml:space="preserve">ARTICLE 11 — EXECUTORY CONTRACT</w:t>
      </w:r>
    </w:p>
    <w:p>
      <w:pPr>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a bankruptcy trustee cannot assume or assign a debtor Member's interest in the Company in accordance with 11 U.S.C. §365(c)(1) without the prior written consent of the other Members.</w:t>
      </w:r>
    </w:p>
    <w:p>
      <w:pPr>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widowControl/>
        <w:spacing w:before="240" w:after="200"/>
      </w:pPr>
      <w:r>
        <w:rPr>
          <w:rFonts w:ascii="Times New Roman" w:hAnsi="Times New Roman"/>
          <w:b/>
          <w:sz w:val="26"/>
          <w:szCs w:val="26"/>
        </w:rPr>
        <w:t xml:space="preserve">ARTICLE 12 — ADMISSION OF MEMBERS; ASSOCIATION WITH PROTECTED SERIES</w:t>
      </w:r>
    </w:p>
    <w:p>
      <w:pPr>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and only if that person is an eligible S corporation shareholder under section 1361 of the Code and the admission would not cause the number of shareholders to exceed the limit of that section, except that (a) a TOD beneficiary is admitted as provided in Section 4.11, and (b) a permitted family transferee under Section 10.2 may be admitted with the written consent of a Majority in Interest of the Members other than the transferor. Any purported admission in violation of this Section is null and void ab initio and shall be given no force or effect for any purpose.</w:t>
      </w:r>
    </w:p>
    <w:p>
      <w:pPr>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13 — WITHDRAWAL; DEADLOCK</w:t>
      </w:r>
    </w:p>
    <w:p>
      <w:pPr>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Next/>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widowControl/>
        <w:spacing w:before="240" w:after="200"/>
      </w:pPr>
      <w:r>
        <w:rPr>
          <w:rFonts w:ascii="Times New Roman" w:hAnsi="Times New Roman"/>
          <w:b/>
          <w:sz w:val="26"/>
          <w:szCs w:val="26"/>
        </w:rPr>
        <w:t xml:space="preserve">ARTICLE 14 — DISSOLUTION AND WINDING UP</w:t>
      </w:r>
    </w:p>
    <w:p>
      <w:pPr>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a Majority in Interest of the Members (or a person they designate)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Administrative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and finally, the balance to the Members in proportion to their Percentage Interests. All distributions in winding up, whether of the Company or of any Protected Series, shall be made in proportion to Percentage Interests, so that every Membership Interest confers identical rights to liquidation proceeds.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14.5 No Obligation to Contribute; Recourse Limited.</w:t>
      </w:r>
      <w:r>
        <w:rPr>
          <w:rFonts w:ascii="Times New Roman" w:hAnsi="Times New Roman"/>
          <w:sz w:val="24"/>
          <w:szCs w:val="24"/>
        </w:rPr>
        <w:t xml:space="preserve"> No Member shall have any obligation to contribute capital in connection with any winding up (beyond unpaid contributions duly required under Sections 6.1 and 6.2),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15 — AMENDMENTS; CONSENTS</w:t>
      </w:r>
    </w:p>
    <w:p>
      <w:pPr>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the Administrative Member may amend Exhibit A and the Series Exhibits without further consent solely to record changes duly made under this Agreement (admissions, Transfers, TOD designations, capital adjustments under Section 6.3). Oral, implied, or course-of-dealing amendments are of no effect.</w:t>
      </w:r>
    </w:p>
    <w:p>
      <w:pPr>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widowControl/>
        <w:spacing w:before="240" w:after="200"/>
      </w:pPr>
      <w:r>
        <w:rPr>
          <w:rFonts w:ascii="Times New Roman" w:hAnsi="Times New Roman"/>
          <w:b/>
          <w:sz w:val="26"/>
          <w:szCs w:val="26"/>
        </w:rPr>
        <w:t xml:space="preserve">ARTICLE 16 — MISCELLANEOUS</w:t>
      </w:r>
    </w:p>
    <w:p>
      <w:pPr>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effective as of the date(s) set forth below.</w:t>
      </w:r>
    </w:p>
    <w:p>
      <w:pPr>
        <w:keepNext/>
        <w:widowControl/>
        <w:spacing w:after="160"/>
        <w:jc w:val="both"/>
      </w:pPr>
      <w:r>
        <w:rPr>
          <w:rFonts w:ascii="Times New Roman" w:hAnsi="Times New Roman"/>
          <w:b/>
          <w:sz w:val="24"/>
          <w:szCs w:val="24"/>
        </w:rPr>
        <w:t xml:space="preserve">MEMBERS:</w:t>
      </w:r>
    </w:p>
    <w:p>
      <w:pPr>
        <w:keepNext/>
        <w:widowControl/>
        <w:spacing w:after="160"/>
        <w:jc w:val="both"/>
      </w:pPr>
      <w:r>
        <w:rPr>
          <w:rFonts w:ascii="Times New Roman" w:hAnsi="Times New Roman"/>
          <w:b/>
          <w:sz w:val="24"/>
          <w:szCs w:val="24"/>
        </w:rPr>
        <w:t xml:space="preserve">[UNIT]</w:t>
      </w:r>
    </w:p>
    <w:p>
      <w:pPr>
        <w:widowControl/>
        <w:spacing w:after="160"/>
        <w:jc w:val="both"/>
      </w:pPr>
      <w:r>
        <w:rPr>
          <w:rFonts w:ascii="Times New Roman" w:hAnsi="Times New Roman"/>
          <w:sz w:val="24"/>
          <w:szCs w:val="24"/>
        </w:rPr>
        <w:t xml:space="preserve">[HOLDING]</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Date: _____________________________</w:t>
      </w:r>
    </w:p>
    <w:p>
      <w:pPr>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By: _____________________________</w:t>
      </w:r>
    </w:p>
    <w:p>
      <w:pPr>
        <w:widowControl/>
        <w:spacing w:after="160"/>
        <w:jc w:val="both"/>
      </w:pPr>
      <w:r>
        <w:rPr>
          <w:rFonts w:ascii="Times New Roman" w:hAnsi="Times New Roman"/>
          <w:sz w:val="24"/>
          <w:szCs w:val="24"/>
        </w:rPr>
        <w:t xml:space="preserve">[[indent]][PRINTED NAME]</w:t>
      </w:r>
    </w:p>
    <w:p>
      <w:pPr>
        <w:widowControl/>
        <w:spacing w:after="160"/>
        <w:jc w:val="both"/>
      </w:pPr>
      <w:r>
        <w:rPr>
          <w:rFonts w:ascii="Times New Roman" w:hAnsi="Times New Roman"/>
          <w:sz w:val="24"/>
          <w:szCs w:val="24"/>
        </w:rPr>
        <w:t xml:space="preserve">[[indent]][TITLE]</w:t>
      </w:r>
    </w:p>
    <w:p>
      <w:pPr>
        <w:keepNext/>
        <w:widowControl/>
        <w:spacing w:after="160"/>
        <w:jc w:val="both"/>
      </w:pPr>
      <w:r>
        <w:rPr>
          <w:rFonts w:ascii="Times New Roman" w:hAnsi="Times New Roman"/>
          <w:sz w:val="24"/>
          <w:szCs w:val="24"/>
        </w:rPr>
        <w:t xml:space="preserve">Date: _____________________________</w:t>
      </w:r>
    </w:p>
    <w:p>
      <w:pPr>
        <w:pageBreakBefore/>
        <w:keepNext/>
        <w:widowControl/>
        <w:spacing w:before="240" w:after="200"/>
      </w:pPr>
      <w:r>
        <w:rPr>
          <w:rFonts w:ascii="Times New Roman" w:hAnsi="Times New Roman"/>
          <w:b/>
          <w:sz w:val="26"/>
          <w:szCs w:val="26"/>
        </w:rPr>
        <w:t xml:space="preserve">EXHIBIT A — MEMBERS; PERCENTAGE INTERESTS; CONTRIBUTIONS; TOD DESIGNATIONS</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as [HOLDING] | [MEMBER ADDRESS] | [MEMBER SHARE] | [MEMBER CONTRIBUTION] | [MEMBER DATE] |</w:t>
      </w:r>
    </w:p>
    <w:p>
      <w:pPr>
        <w:widowControl/>
        <w:spacing w:after="160"/>
        <w:jc w:val="both"/>
      </w:pPr>
      <w:r>
        <w:rPr>
          <w:rFonts w:ascii="Times New Roman" w:hAnsi="Times New Roman"/>
          <w:sz w:val="24"/>
          <w:szCs w:val="24"/>
        </w:rPr>
        <w:t xml:space="preserve">| </w:t>
      </w:r>
      <w:r>
        <w:rPr>
          <w:rFonts w:ascii="Times New Roman" w:hAnsi="Times New Roman"/>
          <w:b/>
          <w:sz w:val="24"/>
          <w:szCs w:val="24"/>
        </w:rPr>
        <w:t xml:space="preserve">Total</w:t>
      </w:r>
      <w:r>
        <w:rPr>
          <w:rFonts w:ascii="Times New Roman" w:hAnsi="Times New Roman"/>
          <w:sz w:val="24"/>
          <w:szCs w:val="24"/>
        </w:rPr>
        <w:t xml:space="preserve"> | | </w:t>
      </w:r>
      <w:r>
        <w:rPr>
          <w:rFonts w:ascii="Times New Roman" w:hAnsi="Times New Roman"/>
          <w:b/>
          <w:sz w:val="24"/>
          <w:szCs w:val="24"/>
        </w:rPr>
        <w:t xml:space="preserve">100%</w:t>
      </w:r>
      <w:r>
        <w:rPr>
          <w:rFonts w:ascii="Times New Roman" w:hAnsi="Times New Roman"/>
          <w:sz w:val="24"/>
          <w:szCs w:val="24"/>
        </w:rPr>
        <w:t xml:space="preserve"> | | |</w:t>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Contributed by</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[ASSET] | [ASSET VALUE] | [ASSET BY] | [ASSET TO] |</w:t>
      </w:r>
    </w:p>
    <w:p>
      <w:pPr>
        <w:keepNext/>
        <w:widowControl/>
        <w:spacing w:after="160"/>
        <w:jc w:val="both"/>
      </w:pPr>
      <w:r>
        <w:rPr>
          <w:rFonts w:ascii="Times New Roman" w:hAnsi="Times New Roman"/>
          <w:b/>
          <w:sz w:val="24"/>
          <w:szCs w:val="24"/>
        </w:rPr>
        <w:t xml:space="preserve">Allocation of the Company's capital to the Protected Series: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Protected Series</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Assets allocated by the Company</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[SERIES] | [CONTRIBUTION] | [SERIES TOTAL] |</w:t>
      </w:r>
    </w:p>
    <w:p>
      <w:pPr>
        <w:widowControl/>
        <w:spacing w:after="160"/>
        <w:jc w:val="both"/>
      </w:pPr>
      <w:r>
        <w:rPr>
          <w:rFonts w:ascii="Times New Roman" w:hAnsi="Times New Roman"/>
          <w:sz w:val="24"/>
          <w:szCs w:val="24"/>
        </w:rPr>
        <w:t xml:space="preserve">| </w:t>
      </w:r>
      <w:r>
        <w:rPr>
          <w:rFonts w:ascii="Times New Roman" w:hAnsi="Times New Roman"/>
          <w:b/>
          <w:sz w:val="24"/>
          <w:szCs w:val="24"/>
        </w:rPr>
        <w:t xml:space="preserve">Retained by the Company</w:t>
      </w:r>
      <w:r>
        <w:rPr>
          <w:rFonts w:ascii="Times New Roman" w:hAnsi="Times New Roman"/>
          <w:sz w:val="24"/>
          <w:szCs w:val="24"/>
        </w:rPr>
        <w:t xml:space="preserve"> | [RETAINED ASSETS] | [RETAINED] |</w:t>
      </w:r>
    </w:p>
    <w:p>
      <w:pPr>
        <w:keepNext/>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If that beneficiary does not survive the Member</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 [MEMBER TOD] (effective at the death of the last surviving spouse) | [MEMBER TOD BACKUP] |</w:t>
      </w:r>
    </w:p>
    <w:p>
      <w:pPr>
        <w:widowControl/>
        <w:spacing w:after="160"/>
        <w:jc w:val="both"/>
      </w:pPr>
      <w:r>
        <w:rPr>
          <w:rFonts w:ascii="Times New Roman" w:hAnsi="Times New Roman"/>
          <w:sz w:val="24"/>
          <w:szCs w:val="24"/>
        </w:rPr>
        <w:t xml:space="preserve">A designation is effective only in favor of a beneficiary that is an eligible S corporation shareholder (Section 9.3(b)).</w:t>
      </w:r>
    </w:p>
    <w:p>
      <w:pPr>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Any lawful purpose, including, without limitation, [PURPOSE]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Members, as protected-series managers (s. 605.2304, Fla. Stat., as varied by Section 5.2 of the Agreement), acting by a Majority in Interest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a Majority in Interest of its Members: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Member</w:t>
      </w:r>
    </w:p>
    <w:p>
      <w:pPr>
        <w:widowControl/>
        <w:spacing w:after="160"/>
        <w:jc w:val="both"/>
      </w:pPr>
      <w:r>
        <w:rPr>
          <w:rFonts w:ascii="Times New Roman" w:hAnsi="Times New Roman"/>
          <w:sz w:val="24"/>
          <w:szCs w:val="24"/>
        </w:rPr>
        <w:t xml:space="preserve">[ADOPTER NAME], Member</w:t>
      </w:r>
    </w:p>
    <w:p>
      <w:pPr>
        <w:keepNext/>
        <w:widowControl/>
        <w:spacing w:after="160"/>
        <w:jc w:val="both"/>
      </w:pPr>
      <w:r>
        <w:rPr>
          <w:rFonts w:ascii="Times New Roman" w:hAnsi="Times New Roman"/>
          <w:sz w:val="24"/>
          <w:szCs w:val="24"/>
        </w:rPr>
        <w:t xml:space="preserve">By: _____________________________</w:t>
      </w:r>
    </w:p>
    <w:p>
      <w:pPr>
        <w:widowControl/>
        <w:spacing w:after="160"/>
        <w:jc w:val="both"/>
      </w:pPr>
      <w:r>
        <w:rPr>
          <w:rFonts w:ascii="Times New Roman" w:hAnsi="Times New Roman"/>
          <w:sz w:val="24"/>
          <w:szCs w:val="24"/>
        </w:rPr>
        <w:t xml:space="preserve">[[indent]][PRINTED NAME]</w:t>
      </w:r>
    </w:p>
    <w:p>
      <w:pPr>
        <w:widowControl/>
        <w:spacing w:after="160"/>
        <w:jc w:val="both"/>
      </w:pPr>
      <w:r>
        <w:rPr>
          <w:rFonts w:ascii="Times New Roman" w:hAnsi="Times New Roman"/>
          <w:sz w:val="24"/>
          <w:szCs w:val="24"/>
        </w:rPr>
        <w:t xml:space="preserve">[[indent]][TITLE]</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(Member-Managed / S Corporation), v1 draft. Statutory citations verified against Online Sunshine on August 3, 2026: ss. 605.2103, 605.2107, 605.2201, 605.2202, 605.2301, 605.2401, 605.2501, 605.2604, 605.0502, 605.0503, 605.04091, 48.062, 711.50–711.512, Fla. Stat.; 11 U.S.C. §365; In re Soderstrom, 484 B.R. 874 (M.D. Fla. 2013).</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