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Multiple Members / Partnership Taxation)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a Majority in Interest.</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2.10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or as joint tenants with right of survivorship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who is an individual may designate any person or entity as a beneficiary. A designation may name a backup beneficiary to take if the first beneficiary does not survive the Member. Members who hold a Membership Interest jointly as tenants in common may not designate a TOD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 BY THE MEMBERS</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Members. As permitted by s. 605.2107(1)(n), Florida Statutes, this Section varies s. 605.2304(2) so that the Members, rather than the Company, are the protected-series managers of each Protected Series. Every decision with respect to a Protected Series is made by a Majority in Interest of the Members as provided in Section 5.3, and the Administrative Member performs for each Protected Series the ministerial functions described in Section 5.8. The Members have, with respect to each Protected Series, the rights, powers, and duties of protected-series managers under the Act, subject to this Agreement and the Series Exhibit.</w:t>
      </w:r>
    </w:p>
    <w:p>
      <w:pPr>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the Members shall cause it to be amended or cancelled as necessary to keep it accurate. The limitations in Section 5.4(b) apply among the Members whether or not a statement of authority is filed or recorded.</w:t>
      </w:r>
    </w:p>
    <w:p>
      <w:pPr>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widowControl/>
        <w:spacing w:before="240" w:after="200"/>
      </w:pPr>
      <w:r>
        <w:rPr>
          <w:rFonts w:ascii="Times New Roman" w:hAnsi="Times New Roman"/>
          <w:b/>
          <w:sz w:val="26"/>
          <w:szCs w:val="26"/>
        </w:rPr>
        <w:t xml:space="preserve">ARTICLE 6 — CAPITAL; CAPITAL ACCOUNTS</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Administrative Member shall apply this Section so that the allocations have substantial economic effect and shall resolve questions of application consistently and in good faith.</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Administrative Member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Administrative Member (or a person a Majority in Interest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A Majority in Interest may make, change, or revoke any tax election for the Company or any Protected Series (including an election under section 754 of the Code) that it determines to be in the best interests of the Members as a whole.</w:t>
      </w:r>
    </w:p>
    <w:p>
      <w:pPr>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a Majority in Interest selects another permitted year.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account balances; and finally, the balance to the Members in proportion to their Percentage Interests.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the Administrative Member may amend Exhibit A and the Series Exhibits without further consent solely to record changes duly made under this Agreement (admissions, Transfers, TOD designations, capital adjustments under Section 6.3).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MEMBERS:</w:t>
      </w:r>
    </w:p>
    <w:p>
      <w:pPr>
        <w:keepNext/>
        <w:widowControl/>
        <w:spacing w:after="160"/>
        <w:jc w:val="both"/>
      </w:pPr>
      <w:r>
        <w:rPr>
          <w:rFonts w:ascii="Times New Roman" w:hAnsi="Times New Roman"/>
          <w:b/>
          <w:sz w:val="24"/>
          <w:szCs w:val="24"/>
        </w:rPr>
        <w:t xml:space="preserve">[UNIT]</w:t>
      </w:r>
    </w:p>
    <w:p>
      <w:pPr>
        <w:widowControl/>
        <w:spacing w:after="160"/>
        <w:jc w:val="both"/>
      </w:pPr>
      <w:r>
        <w:rPr>
          <w:rFonts w:ascii="Times New Roman" w:hAnsi="Times New Roman"/>
          <w:sz w:val="24"/>
          <w:szCs w:val="24"/>
        </w:rPr>
        <w:t xml:space="preserve">[HOLDING]</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BY] | [ASSET TO] |</w:t>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[SERIES] | [CONTRIBUTION] | [SERIES TOTAL]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Retained by the Company</w:t>
      </w:r>
      <w:r>
        <w:rPr>
          <w:rFonts w:ascii="Times New Roman" w:hAnsi="Times New Roman"/>
          <w:sz w:val="24"/>
          <w:szCs w:val="24"/>
        </w:rPr>
        <w:t xml:space="preserve"> | [RETAINED ASSETS] | [RETAINED]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If that beneficiary does not survive the Member</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(effective at the death of the last surviving spouse) | [MEMBER TOD BACKUP] |</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Members, as protected-series managers (s. 605.2304, Fla. Stat., as varied by Section 5.2 of the Agreement), acting by a Majority in Interest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a Majority in Interest of its 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widowControl/>
        <w:spacing w:after="160"/>
        <w:jc w:val="both"/>
      </w:pPr>
      <w:r>
        <w:rPr>
          <w:rFonts w:ascii="Times New Roman" w:hAnsi="Times New Roman"/>
          <w:sz w:val="24"/>
          <w:szCs w:val="24"/>
        </w:rPr>
        <w:t xml:space="preserve">[ADOPTER NAME], Member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