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unless its Series Exhibit names someone else for that series.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(multi-member partnership forms only; contribution records elsewhere),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and no guarantee given for anyone, without the owners' written consent.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multi-member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not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it is the number the company gives on W-9s so you are not handing out your Social Security number.</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demands a taxpayer number for the named entity</w:t>
      </w:r>
      <w:r>
        <w:rPr>
          <w:rFonts w:ascii="Georgia" w:hAnsi="Georgia"/>
          <w:sz w:val="22"/>
          <w:szCs w:val="22"/>
        </w:rPr>
        <w:t xml:space="preserve"> — a lender, title company, insurer, or property manager. Giving them the company's EIN for a series' business stitches the two identities together on paper, the opposite of the separateness you are documenting.</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(and where the company itself is disregarded to a single owner, Section 16's table shows that lands on your own Form 1040).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a majority of the owners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each member register a transfer-on-death beneficiary — anyone the member chooses, subject on the S corporation forms to the eligible-shareholder rule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$50 ($25 to prepare and the $25 state fee),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unless a Series Exhibit names someone else for that series.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costs $50 through us — $25 to prepare and the $25 state filing fee —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$25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