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jc w:val="center"/>
      </w:pPr>
      <w:r>
        <w:rPr>
          <w:rFonts w:ascii="Times New Roman" w:hAnsi="Times New Roman"/>
          <w:b/>
          <w:sz w:val="28"/>
        </w:rPr>
        <w:t>OPERATING AGREEMENT</w:t>
      </w:r>
    </w:p>
    <w:p>
      <w:pPr>
        <w:keepNext/>
        <w:spacing w:before="240"/>
        <w:jc w:val="center"/>
      </w:pPr>
      <w:r>
        <w:rPr>
          <w:rFonts w:ascii="Times New Roman" w:hAnsi="Times New Roman"/>
          <w:b/>
          <w:sz w:val="26"/>
        </w:rPr>
        <w:t>OF</w:t>
      </w:r>
    </w:p>
    <w:p>
      <w:pPr>
        <w:keepNext/>
        <w:spacing w:before="240"/>
        <w:jc w:val="center"/>
      </w:pPr>
      <w:r>
        <w:rPr>
          <w:rFonts w:ascii="Times New Roman" w:hAnsi="Times New Roman"/>
          <w:b/>
          <w:sz w:val="26"/>
        </w:rPr>
        <w:t>[COMPANY NAME], LLC</w:t>
      </w:r>
    </w:p>
    <w:p>
      <w:pPr>
        <w:keepNext/>
        <w:spacing w:before="240"/>
        <w:jc w:val="center"/>
      </w:pPr>
      <w:r>
        <w:rPr>
          <w:rFonts w:ascii="Times New Roman" w:hAnsi="Times New Roman"/>
          <w:b/>
          <w:sz w:val="24"/>
        </w:rPr>
        <w:t>A FLORIDA PROTECTED SERIES LIMITED LIABILITY COMPANY</w:t>
      </w:r>
    </w:p>
    <w:p>
      <w:pPr>
        <w:jc w:val="center"/>
      </w:pPr>
      <w:r>
        <w:rPr>
          <w:rFonts w:ascii="Times New Roman" w:hAnsi="Times New Roman"/>
          <w:b/>
          <w:sz w:val="24"/>
        </w:rPr>
        <w:t>(Member-Managed — Multiple Members / Partnership Taxation)</w:t>
      </w:r>
    </w:p>
    <w:p>
      <w:pPr>
        <w:spacing w:after="160"/>
        <w:jc w:val="both"/>
      </w:pPr>
      <w:r>
        <w:rPr>
          <w:rFonts w:ascii="Times New Roman" w:hAnsi="Times New Roman"/>
          <w:sz w:val="24"/>
        </w:rPr>
        <w:t xml:space="preserve">THIS OPERATING AGREEMENT (this "Agreement") of </w:t>
      </w:r>
      <w:r>
        <w:rPr>
          <w:rFonts w:ascii="Times New Roman" w:hAnsi="Times New Roman"/>
          <w:b/>
          <w:sz w:val="24"/>
        </w:rPr>
        <w:t>[COMPANY NAME], LLC</w:t>
      </w:r>
      <w:r>
        <w:rPr>
          <w:rFonts w:ascii="Times New Roman" w:hAnsi="Times New Roman"/>
          <w:sz w:val="24"/>
        </w:rPr>
        <w:t>, a Florida protected series limited liability company (the "Company"), is made and entered into effective as of [DATE] (the "Effective Date"), by and among the undersigned members (each a "Member" and collectively the "Members").</w:t>
      </w:r>
    </w:p>
    <w:p>
      <w:pPr>
        <w:keepNext/>
        <w:spacing w:before="240"/>
        <w:jc w:val="center"/>
      </w:pPr>
      <w:r>
        <w:rPr>
          <w:rFonts w:ascii="Times New Roman" w:hAnsi="Times New Roman"/>
          <w:b/>
          <w:sz w:val="24"/>
        </w:rPr>
        <w:t>RECITALS</w:t>
      </w:r>
    </w:p>
    <w:p>
      <w:pPr>
        <w:spacing w:after="160"/>
        <w:jc w:val="both"/>
      </w:pPr>
      <w:r>
        <w:rPr>
          <w:rFonts w:ascii="Times New Roman" w:hAnsi="Times New Roman"/>
          <w:sz w:val="24"/>
        </w:rPr>
        <w:t>A. The Company was formed as a Florida limited liability company by the filing of Articles of Organization with the Florida Department of State, Division of Corporations (the "Department").</w:t>
      </w:r>
    </w:p>
    <w:p>
      <w:pPr>
        <w:spacing w:after="160"/>
        <w:jc w:val="both"/>
      </w:pPr>
      <w:r>
        <w:rPr>
          <w:rFonts w:ascii="Times New Roman" w:hAnsi="Times New Roman"/>
          <w:sz w:val="24"/>
        </w:rPr>
        <w:t xml:space="preserve">B. The Company is a </w:t>
      </w:r>
      <w:r>
        <w:rPr>
          <w:rFonts w:ascii="Times New Roman" w:hAnsi="Times New Roman"/>
          <w:b/>
          <w:sz w:val="24"/>
        </w:rPr>
        <w:t>protected series limited liability company</w:t>
      </w:r>
      <w:r>
        <w:rPr>
          <w:rFonts w:ascii="Times New Roman" w:hAnsi="Times New Roman"/>
          <w:sz w:val="24"/>
        </w:rPr>
        <w:t xml:space="preserve"> within the meaning of ss. 605.2101–605.2802, Florida Statutes, having designated, or intending to designate, one or more protected series by filing one or more Protected Series Designations with the Department.</w:t>
      </w:r>
    </w:p>
    <w:p>
      <w:pPr>
        <w:spacing w:after="160"/>
        <w:jc w:val="both"/>
      </w:pPr>
      <w:r>
        <w:rPr>
          <w:rFonts w:ascii="Times New Roman" w:hAnsi="Times New Roman"/>
          <w:sz w:val="24"/>
        </w:rPr>
        <w:t>C. The Members intend by this Agreement to set forth the terms governing the Company, each Protected Series designated by the Company, and the relations among the Company, each Protected Series, and the Members.</w:t>
      </w:r>
    </w:p>
    <w:p>
      <w:pPr>
        <w:spacing w:after="160"/>
        <w:jc w:val="both"/>
      </w:pPr>
      <w:r>
        <w:rPr>
          <w:rFonts w:ascii="Times New Roman" w:hAnsi="Times New Roman"/>
          <w:sz w:val="24"/>
        </w:rPr>
        <w:t>NOW, THEREFORE, the Members adopt the following as the operating agreement of the Company and of each Protected Series:</w:t>
      </w:r>
    </w:p>
    <w:p>
      <w:pPr>
        <w:pStyle w:val="Heading1"/>
        <w:keepNext/>
        <w:spacing w:before="240"/>
      </w:pPr>
      <w:r>
        <w:rPr>
          <w:rFonts w:ascii="Times New Roman" w:hAnsi="Times New Roman"/>
          <w:b/>
          <w:sz w:val="26"/>
        </w:rPr>
        <w:t>ARTICLE 1 — THE COMPANY</w:t>
      </w:r>
    </w:p>
    <w:p>
      <w:pPr>
        <w:spacing w:after="160"/>
        <w:jc w:val="both"/>
      </w:pPr>
      <w:r>
        <w:rPr>
          <w:rFonts w:ascii="Times New Roman" w:hAnsi="Times New Roman"/>
          <w:b/>
          <w:sz w:val="24"/>
        </w:rPr>
        <w:t>1.1 Definitions.</w:t>
      </w:r>
      <w:r>
        <w:rPr>
          <w:rFonts w:ascii="Times New Roman" w:hAnsi="Times New Roman"/>
          <w:sz w:val="24"/>
        </w:rPr>
        <w:t xml:space="preserve"> Capitalized terms have the meanings set forth in Article 2 or in the Section in which they are used.</w:t>
      </w:r>
    </w:p>
    <w:p>
      <w:pPr>
        <w:spacing w:after="160"/>
        <w:jc w:val="both"/>
      </w:pPr>
      <w:r>
        <w:rPr>
          <w:rFonts w:ascii="Times New Roman" w:hAnsi="Times New Roman"/>
          <w:b/>
          <w:sz w:val="24"/>
        </w:rPr>
        <w:t>1.2 Formation; Status as Protected Series LLC.</w:t>
      </w:r>
      <w:r>
        <w:rPr>
          <w:rFonts w:ascii="Times New Roman" w:hAnsi="Times New Roman"/>
          <w:sz w:val="24"/>
        </w:rPr>
        <w:t xml:space="preserve">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w:t>
      </w:r>
      <w:r>
        <w:rPr>
          <w:rFonts w:ascii="Times New Roman" w:hAnsi="Times New Roman"/>
          <w:i/>
          <w:sz w:val="24"/>
        </w:rPr>
        <w:t>protected series limited liability company</w:t>
      </w:r>
      <w:r>
        <w:rPr>
          <w:rFonts w:ascii="Times New Roman" w:hAnsi="Times New Roman"/>
          <w:sz w:val="24"/>
        </w:rPr>
        <w:t xml:space="preserve">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spacing w:after="160"/>
        <w:jc w:val="both"/>
      </w:pPr>
      <w:r>
        <w:rPr>
          <w:rFonts w:ascii="Times New Roman" w:hAnsi="Times New Roman"/>
          <w:b/>
          <w:sz w:val="24"/>
        </w:rPr>
        <w:t>1.3 Name; Names of Protected Series.</w:t>
      </w:r>
      <w:r>
        <w:rPr>
          <w:rFonts w:ascii="Times New Roman" w:hAnsi="Times New Roman"/>
          <w:sz w:val="24"/>
        </w:rPr>
        <w:t xml:space="preserve"> The name of the Company is </w:t>
      </w:r>
      <w:r>
        <w:rPr>
          <w:rFonts w:ascii="Times New Roman" w:hAnsi="Times New Roman"/>
          <w:b/>
          <w:sz w:val="24"/>
        </w:rPr>
        <w:t>[COMPANY NAME], LLC</w:t>
      </w:r>
      <w:r>
        <w:rPr>
          <w:rFonts w:ascii="Times New Roman" w:hAnsi="Times New Roman"/>
          <w:sz w:val="24"/>
        </w:rPr>
        <w:t>. The name of each Protected Series shall comply with s. 605.2202, Florida Statutes: it shall begin with the full name of the Company and shall contain the phrase "protected series" or the abbreviation "P.S." or "PS." The name of each Protected Series shall be as set forth in its filed Protected Series Designation and its Series Exhibit. If the Company changes its name, the Administrative Member shall promptly make all filings required to conform the name of each Protected Series.</w:t>
      </w:r>
    </w:p>
    <w:p>
      <w:pPr>
        <w:spacing w:after="160"/>
        <w:jc w:val="both"/>
      </w:pPr>
      <w:r>
        <w:rPr>
          <w:rFonts w:ascii="Times New Roman" w:hAnsi="Times New Roman"/>
          <w:b/>
          <w:sz w:val="24"/>
        </w:rPr>
        <w:t>1.4 Purposes and Powers.</w:t>
      </w:r>
      <w:r>
        <w:rPr>
          <w:rFonts w:ascii="Times New Roman" w:hAnsi="Times New Roman"/>
          <w:sz w:val="24"/>
        </w:rPr>
        <w:t xml:space="preserve"> The purpose of the Company, and of each Protected Series except as limited by its Series Exhibit, is to engage in any lawful business, purpose, or activity for which limited liability companies may be organized under the Act.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spacing w:after="160"/>
        <w:jc w:val="both"/>
      </w:pPr>
      <w:r>
        <w:rPr>
          <w:rFonts w:ascii="Times New Roman" w:hAnsi="Times New Roman"/>
          <w:b/>
          <w:sz w:val="24"/>
        </w:rPr>
        <w:t>1.5 Principal Office.</w:t>
      </w:r>
      <w:r>
        <w:rPr>
          <w:rFonts w:ascii="Times New Roman" w:hAnsi="Times New Roman"/>
          <w:sz w:val="24"/>
        </w:rPr>
        <w:t xml:space="preserve"> The principal office of the Company is [PRINCIPAL ADDRESS], or such other place as a Majority in Interest may determine. A Protected Series may maintain its own place of business as determined by its Associated Members.</w:t>
      </w:r>
    </w:p>
    <w:p>
      <w:pPr>
        <w:spacing w:after="160"/>
        <w:jc w:val="both"/>
      </w:pPr>
      <w:r>
        <w:rPr>
          <w:rFonts w:ascii="Times New Roman" w:hAnsi="Times New Roman"/>
          <w:b/>
          <w:sz w:val="24"/>
        </w:rPr>
        <w:t>1.6 Registered Agent and Registered Office.</w:t>
      </w:r>
      <w:r>
        <w:rPr>
          <w:rFonts w:ascii="Times New Roman" w:hAnsi="Times New Roman"/>
          <w:sz w:val="24"/>
        </w:rPr>
        <w:t xml:space="preserv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spacing w:after="160"/>
        <w:jc w:val="both"/>
      </w:pPr>
      <w:r>
        <w:rPr>
          <w:rFonts w:ascii="Times New Roman" w:hAnsi="Times New Roman"/>
          <w:b/>
          <w:sz w:val="24"/>
        </w:rPr>
        <w:t>1.7 Term.</w:t>
      </w:r>
      <w:r>
        <w:rPr>
          <w:rFonts w:ascii="Times New Roman" w:hAnsi="Times New Roman"/>
          <w:sz w:val="24"/>
        </w:rPr>
        <w:t xml:space="preserve"> The Company's existence is perpetual unless the Company is dissolved and wound up in accordance with this Agreement and the Act. No Protected Series may have a duration extending beyond the existence of the Company.</w:t>
      </w:r>
    </w:p>
    <w:p>
      <w:pPr>
        <w:spacing w:after="160"/>
        <w:jc w:val="both"/>
      </w:pPr>
      <w:r>
        <w:rPr>
          <w:rFonts w:ascii="Times New Roman" w:hAnsi="Times New Roman"/>
          <w:b/>
          <w:sz w:val="24"/>
        </w:rPr>
        <w:t>1.8 Location of Records.</w:t>
      </w:r>
      <w:r>
        <w:rPr>
          <w:rFonts w:ascii="Times New Roman" w:hAnsi="Times New Roman"/>
          <w:sz w:val="24"/>
        </w:rPr>
        <w:t xml:space="preserve"> The records of the Company and of each Protected Series — including the records required by Article 8 — shall be maintained at the Company's principal office or at such other location (including secure electronic storage) as the Administrative Member determines, and shall at all times be retrievable in perceivable form.</w:t>
      </w:r>
    </w:p>
    <w:p>
      <w:pPr>
        <w:spacing w:after="160"/>
        <w:jc w:val="both"/>
      </w:pPr>
      <w:r>
        <w:rPr>
          <w:rFonts w:ascii="Times New Roman" w:hAnsi="Times New Roman"/>
          <w:b/>
          <w:sz w:val="24"/>
        </w:rPr>
        <w:t>1.9 Filings.</w:t>
      </w:r>
      <w:r>
        <w:rPr>
          <w:rFonts w:ascii="Times New Roman" w:hAnsi="Times New Roman"/>
          <w:sz w:val="24"/>
        </w:rPr>
        <w:t xml:space="preserve"> The Administrative Member 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w:t>
      </w:r>
    </w:p>
    <w:p>
      <w:pPr>
        <w:spacing w:after="160"/>
        <w:jc w:val="both"/>
      </w:pPr>
      <w:r>
        <w:rPr>
          <w:rFonts w:ascii="Times New Roman" w:hAnsi="Times New Roman"/>
          <w:b/>
          <w:sz w:val="24"/>
        </w:rPr>
        <w:t>1.10 Title to Property.</w:t>
      </w:r>
      <w:r>
        <w:rPr>
          <w:rFonts w:ascii="Times New Roman" w:hAnsi="Times New Roman"/>
          <w:sz w:val="24"/>
        </w:rPr>
        <w:t xml:space="preserve"> Title to each Associated Asset of a Protected Series shall be acquired, held, and conveyed </w:t>
      </w:r>
      <w:r>
        <w:rPr>
          <w:rFonts w:ascii="Times New Roman" w:hAnsi="Times New Roman"/>
          <w:b/>
          <w:sz w:val="24"/>
        </w:rPr>
        <w:t>in the name of that Protected Series</w:t>
      </w:r>
      <w:r>
        <w:rPr>
          <w:rFonts w:ascii="Times New Roman" w:hAnsi="Times New Roman"/>
          <w:sz w:val="24"/>
        </w:rPr>
        <w:t>. Title to each Associated Asset of the Company shall be acquired, held, and conveyed in the name of the Company. No property of the Company or of any Protected Series shall be held in the individual name of any Member. Each Member's interest in the Company is personal property for all purposes.</w:t>
      </w:r>
    </w:p>
    <w:p>
      <w:pPr>
        <w:spacing w:after="160"/>
        <w:jc w:val="both"/>
      </w:pPr>
      <w:r>
        <w:rPr>
          <w:rFonts w:ascii="Times New Roman" w:hAnsi="Times New Roman"/>
          <w:b/>
          <w:sz w:val="24"/>
        </w:rPr>
        <w:t>1.11 Waiver of Partition Rights.</w:t>
      </w:r>
      <w:r>
        <w:rPr>
          <w:rFonts w:ascii="Times New Roman" w:hAnsi="Times New Roman"/>
          <w:sz w:val="24"/>
        </w:rPr>
        <w:t xml:space="preserve"> Each Member irrevocably waives any right to maintain an action for partition or any similar action with respect to any property of the Company or of any Protected Series.</w:t>
      </w:r>
    </w:p>
    <w:p>
      <w:pPr>
        <w:spacing w:after="160"/>
        <w:jc w:val="both"/>
      </w:pPr>
      <w:r>
        <w:rPr>
          <w:rFonts w:ascii="Times New Roman" w:hAnsi="Times New Roman"/>
          <w:b/>
          <w:sz w:val="24"/>
        </w:rPr>
        <w:t>1.12 No Payments of Individual Obligations.</w:t>
      </w:r>
      <w:r>
        <w:rPr>
          <w:rFonts w:ascii="Times New Roman" w:hAnsi="Times New Roman"/>
          <w:sz w:val="24"/>
        </w:rPr>
        <w:t xml:space="preserve"> The credit and property of the Company and of each Protected Series shall be used solely for the benefit of the Company or the applicable Protected Series, and no such property shall be transferred or encumbered for, or in payment of, any individual obligation of any Member.</w:t>
      </w:r>
    </w:p>
    <w:p>
      <w:pPr>
        <w:pStyle w:val="Heading1"/>
        <w:keepNext/>
        <w:spacing w:before="240"/>
      </w:pPr>
      <w:r>
        <w:rPr>
          <w:rFonts w:ascii="Times New Roman" w:hAnsi="Times New Roman"/>
          <w:b/>
          <w:sz w:val="26"/>
        </w:rPr>
        <w:t>ARTICLE 2 — DEFINITIONS</w:t>
      </w:r>
    </w:p>
    <w:p>
      <w:pPr>
        <w:spacing w:after="160"/>
        <w:jc w:val="both"/>
      </w:pPr>
      <w:r>
        <w:rPr>
          <w:rFonts w:ascii="Times New Roman" w:hAnsi="Times New Roman"/>
          <w:b/>
          <w:sz w:val="24"/>
        </w:rPr>
        <w:t>2.1 "Act"</w:t>
      </w:r>
      <w:r>
        <w:rPr>
          <w:rFonts w:ascii="Times New Roman" w:hAnsi="Times New Roman"/>
          <w:sz w:val="24"/>
        </w:rPr>
        <w:t xml:space="preserve"> means the Florida Revised Uniform Limited Liability Company Act, Chapter 605, Florida Statutes, as amended, including the Protected Series Provisions.</w:t>
      </w:r>
    </w:p>
    <w:p>
      <w:pPr>
        <w:spacing w:after="160"/>
        <w:jc w:val="both"/>
      </w:pPr>
      <w:r>
        <w:rPr>
          <w:rFonts w:ascii="Times New Roman" w:hAnsi="Times New Roman"/>
          <w:b/>
          <w:sz w:val="24"/>
        </w:rPr>
        <w:t>2.2 "Associated Asset"</w:t>
      </w:r>
      <w:r>
        <w:rPr>
          <w:rFonts w:ascii="Times New Roman" w:hAnsi="Times New Roman"/>
          <w:sz w:val="24"/>
        </w:rPr>
        <w:t xml:space="preserve"> means an asset of a Protected Series, or of the Company, that satisfies the recordkeeping requirements of s. 605.2301, Florida Statutes, and Article 8 of this Agreement.</w:t>
      </w:r>
    </w:p>
    <w:p>
      <w:pPr>
        <w:spacing w:after="160"/>
        <w:jc w:val="both"/>
      </w:pPr>
      <w:r>
        <w:rPr>
          <w:rFonts w:ascii="Times New Roman" w:hAnsi="Times New Roman"/>
          <w:b/>
          <w:sz w:val="24"/>
        </w:rPr>
        <w:t>2.3 "Associated Liability"</w:t>
      </w:r>
      <w:r>
        <w:rPr>
          <w:rFonts w:ascii="Times New Roman" w:hAnsi="Times New Roman"/>
          <w:sz w:val="24"/>
        </w:rPr>
        <w:t xml:space="preserve"> means a liability incurred by, contracted for, or otherwise existing with respect to a particular Protected Series or the Company, as reflected in the records maintained under Article 8.</w:t>
      </w:r>
    </w:p>
    <w:p>
      <w:pPr>
        <w:spacing w:after="160"/>
        <w:jc w:val="both"/>
      </w:pPr>
      <w:r>
        <w:rPr>
          <w:rFonts w:ascii="Times New Roman" w:hAnsi="Times New Roman"/>
          <w:b/>
          <w:sz w:val="24"/>
        </w:rPr>
        <w:t>2.4 "Associated Member"</w:t>
      </w:r>
      <w:r>
        <w:rPr>
          <w:rFonts w:ascii="Times New Roman" w:hAnsi="Times New Roman"/>
          <w:sz w:val="24"/>
        </w:rPr>
        <w:t xml:space="preserve"> means, with respect to a Protected Series, a Member associated with that Protected Series under this Agreement and its Series Exhibit. If no Member is associated with a Protected Series, the Company itself is deemed the sole Associated Member of that Protected Series as provided by the Act.</w:t>
      </w:r>
    </w:p>
    <w:p>
      <w:pPr>
        <w:spacing w:after="160"/>
        <w:jc w:val="both"/>
      </w:pPr>
      <w:r>
        <w:rPr>
          <w:rFonts w:ascii="Times New Roman" w:hAnsi="Times New Roman"/>
          <w:b/>
          <w:sz w:val="24"/>
        </w:rPr>
        <w:t>2.5 "Company"</w:t>
      </w:r>
      <w:r>
        <w:rPr>
          <w:rFonts w:ascii="Times New Roman" w:hAnsi="Times New Roman"/>
          <w:sz w:val="24"/>
        </w:rPr>
        <w:t xml:space="preserve"> means [COMPANY NAME], LLC.</w:t>
      </w:r>
    </w:p>
    <w:p>
      <w:pPr>
        <w:spacing w:after="160"/>
        <w:jc w:val="both"/>
      </w:pPr>
      <w:r>
        <w:rPr>
          <w:rFonts w:ascii="Times New Roman" w:hAnsi="Times New Roman"/>
          <w:b/>
          <w:sz w:val="24"/>
        </w:rPr>
        <w:t>2.6 "Immediate Family Member"</w:t>
      </w:r>
      <w:r>
        <w:rPr>
          <w:rFonts w:ascii="Times New Roman" w:hAnsi="Times New Roman"/>
          <w:sz w:val="24"/>
        </w:rPr>
        <w:t xml:space="preserve"> means, as to any Member, (a) any ancestor of that Member or descendant of a grandparent of that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spacing w:after="160"/>
        <w:jc w:val="both"/>
      </w:pPr>
      <w:r>
        <w:rPr>
          <w:rFonts w:ascii="Times New Roman" w:hAnsi="Times New Roman"/>
          <w:b/>
          <w:sz w:val="24"/>
        </w:rPr>
        <w:t>2.7 "Involuntary Transfer"</w:t>
      </w:r>
      <w:r>
        <w:rPr>
          <w:rFonts w:ascii="Times New Roman" w:hAnsi="Times New Roman"/>
          <w:sz w:val="24"/>
        </w:rPr>
        <w:t xml:space="preserve"> means any Transfer by which a Member or transferee is deprived or divested of any right, title, or interest in a Membership Interest other than voluntarily, including (a) a Transfer to or for the benefit of a judgment creditor pursuant to court order, subject in all events to Section 10.6, (b) a Transfer in connection with reorganization, insolvency, bankruptcy, or receivership, (c) a Transfer to a public officer or agency under any abandoned-property or escheat law, and (d) a Transfer to a spouse or former spouse in connection with dissolution of marriage or marital separation.</w:t>
      </w:r>
    </w:p>
    <w:p>
      <w:pPr>
        <w:spacing w:after="160"/>
        <w:jc w:val="both"/>
      </w:pPr>
      <w:r>
        <w:rPr>
          <w:rFonts w:ascii="Times New Roman" w:hAnsi="Times New Roman"/>
          <w:b/>
          <w:sz w:val="24"/>
        </w:rPr>
        <w:t>2.8 "Majority in Interest"</w:t>
      </w:r>
      <w:r>
        <w:rPr>
          <w:rFonts w:ascii="Times New Roman" w:hAnsi="Times New Roman"/>
          <w:sz w:val="24"/>
        </w:rPr>
        <w:t xml:space="preserve"> means one or more Members holding, in the aggregate, more than fifty percent (50%) of the Percentage Interests then held by Members, excluding for all purposes any Percentage Interest or Series Percentage held by a transferee, assignee, beneficiary, or holder of a charging order who has not been admitted as a Member; and, when used with respect to a Protected Series, one or more Associated Members of that Protected Series holding, in the aggregate, more than fifty percent (50%) of the Series Percentages of that Protected Series.</w:t>
      </w:r>
    </w:p>
    <w:p>
      <w:pPr>
        <w:spacing w:after="160"/>
        <w:jc w:val="both"/>
      </w:pPr>
      <w:r>
        <w:rPr>
          <w:rFonts w:ascii="Times New Roman" w:hAnsi="Times New Roman"/>
          <w:b/>
          <w:sz w:val="24"/>
        </w:rPr>
        <w:t>2.9 "Administrative Member"</w:t>
      </w:r>
      <w:r>
        <w:rPr>
          <w:rFonts w:ascii="Times New Roman" w:hAnsi="Times New Roman"/>
          <w:sz w:val="24"/>
        </w:rPr>
        <w:t xml:space="preserve"> means the Member designated under Section 5.8 to perform the ministerial functions assigned to that role by this Agreement, and any successor so designated. The Administrative Member has no authority beyond that expressly conferred by this Agreement or by a Majority in Interest.</w:t>
      </w:r>
    </w:p>
    <w:p>
      <w:pPr>
        <w:spacing w:after="160"/>
        <w:jc w:val="both"/>
      </w:pPr>
      <w:r>
        <w:rPr>
          <w:rFonts w:ascii="Times New Roman" w:hAnsi="Times New Roman"/>
          <w:b/>
          <w:sz w:val="24"/>
        </w:rPr>
        <w:t>2.10 "Member"</w:t>
      </w:r>
      <w:r>
        <w:rPr>
          <w:rFonts w:ascii="Times New Roman" w:hAnsi="Times New Roman"/>
          <w:sz w:val="24"/>
        </w:rPr>
        <w:t xml:space="preserve"> means each person identified as a member on Exhibit A and each person admitted as a member in accordance with this Agreement, in each case until dissociated.</w:t>
      </w:r>
    </w:p>
    <w:p>
      <w:pPr>
        <w:spacing w:after="160"/>
        <w:jc w:val="both"/>
      </w:pPr>
      <w:r>
        <w:rPr>
          <w:rFonts w:ascii="Times New Roman" w:hAnsi="Times New Roman"/>
          <w:b/>
          <w:sz w:val="24"/>
        </w:rPr>
        <w:t>2.11 "Membership Interest"</w:t>
      </w:r>
      <w:r>
        <w:rPr>
          <w:rFonts w:ascii="Times New Roman" w:hAnsi="Times New Roman"/>
          <w:sz w:val="24"/>
        </w:rPr>
        <w:t xml:space="preserve"> means a Member's entire interest in the Company, including the Member's interest in capital, profits, and distributions of the Company and of each Protected Series with which the Member is associated, and all rights of a member under the Act and this Agreement.</w:t>
      </w:r>
    </w:p>
    <w:p>
      <w:pPr>
        <w:spacing w:after="160"/>
        <w:jc w:val="both"/>
      </w:pPr>
      <w:r>
        <w:rPr>
          <w:rFonts w:ascii="Times New Roman" w:hAnsi="Times New Roman"/>
          <w:b/>
          <w:sz w:val="24"/>
        </w:rPr>
        <w:t>2.12 "Percentage Interest"</w:t>
      </w:r>
      <w:r>
        <w:rPr>
          <w:rFonts w:ascii="Times New Roman" w:hAnsi="Times New Roman"/>
          <w:sz w:val="24"/>
        </w:rPr>
        <w:t xml:space="preserve"> means, as to each Member, the percentage set forth for that Member on Exhibit A, as adjusted from time to time under this Agreement. Membership interests are of a single class.</w:t>
      </w:r>
    </w:p>
    <w:p>
      <w:pPr>
        <w:spacing w:after="160"/>
        <w:jc w:val="both"/>
      </w:pPr>
      <w:r>
        <w:rPr>
          <w:rFonts w:ascii="Times New Roman" w:hAnsi="Times New Roman"/>
          <w:b/>
          <w:sz w:val="24"/>
        </w:rPr>
        <w:t>2.13 "Protected Series"</w:t>
      </w:r>
      <w:r>
        <w:rPr>
          <w:rFonts w:ascii="Times New Roman" w:hAnsi="Times New Roman"/>
          <w:sz w:val="24"/>
        </w:rPr>
        <w:t xml:space="preserve"> or </w:t>
      </w:r>
      <w:r>
        <w:rPr>
          <w:rFonts w:ascii="Times New Roman" w:hAnsi="Times New Roman"/>
          <w:b/>
          <w:sz w:val="24"/>
        </w:rPr>
        <w:t>"PS"</w:t>
      </w:r>
      <w:r>
        <w:rPr>
          <w:rFonts w:ascii="Times New Roman" w:hAnsi="Times New Roman"/>
          <w:sz w:val="24"/>
        </w:rPr>
        <w:t xml:space="preserve"> means a protected series of the Company established under s. 605.2201, Florida Statutes, and identified in a Series Exhibit.</w:t>
      </w:r>
    </w:p>
    <w:p>
      <w:pPr>
        <w:spacing w:after="160"/>
        <w:jc w:val="both"/>
      </w:pPr>
      <w:r>
        <w:rPr>
          <w:rFonts w:ascii="Times New Roman" w:hAnsi="Times New Roman"/>
          <w:b/>
          <w:sz w:val="24"/>
        </w:rPr>
        <w:t>2.14 "Protected Series Designation"</w:t>
      </w:r>
      <w:r>
        <w:rPr>
          <w:rFonts w:ascii="Times New Roman" w:hAnsi="Times New Roman"/>
          <w:sz w:val="24"/>
        </w:rPr>
        <w:t xml:space="preserve"> means a designation of a protected series filed with the Department under s. 605.2201, Florida Statutes, as amended from time to time.</w:t>
      </w:r>
    </w:p>
    <w:p>
      <w:pPr>
        <w:spacing w:after="160"/>
        <w:jc w:val="both"/>
      </w:pPr>
      <w:r>
        <w:rPr>
          <w:rFonts w:ascii="Times New Roman" w:hAnsi="Times New Roman"/>
          <w:b/>
          <w:sz w:val="24"/>
        </w:rPr>
        <w:t>2.15 "Series Managing Members"</w:t>
      </w:r>
      <w:r>
        <w:rPr>
          <w:rFonts w:ascii="Times New Roman" w:hAnsi="Times New Roman"/>
          <w:sz w:val="24"/>
        </w:rPr>
        <w:t xml:space="preserve"> means, with respect to a Protected Series, its Associated Members, who manage that Protected Series under Section 5.2.</w:t>
      </w:r>
    </w:p>
    <w:p>
      <w:pPr>
        <w:spacing w:after="160"/>
        <w:jc w:val="both"/>
      </w:pPr>
      <w:r>
        <w:rPr>
          <w:rFonts w:ascii="Times New Roman" w:hAnsi="Times New Roman"/>
          <w:b/>
          <w:sz w:val="24"/>
        </w:rPr>
        <w:t>2.16 "Series Exhibit"</w:t>
      </w:r>
      <w:r>
        <w:rPr>
          <w:rFonts w:ascii="Times New Roman" w:hAnsi="Times New Roman"/>
          <w:sz w:val="24"/>
        </w:rPr>
        <w:t xml:space="preserve"> means, for each Protected Series, the exhibit to this Agreement (each numbered PS-1, PS-2, and so on) setting forth the terms specific to that Protected Series, including its Associated Members and their Series Percentages. Each Series Exhibit is a part of this Agreement.</w:t>
      </w:r>
    </w:p>
    <w:p>
      <w:pPr>
        <w:spacing w:after="160"/>
        <w:jc w:val="both"/>
      </w:pPr>
      <w:r>
        <w:rPr>
          <w:rFonts w:ascii="Times New Roman" w:hAnsi="Times New Roman"/>
          <w:b/>
          <w:sz w:val="24"/>
        </w:rPr>
        <w:t>2.17 "Series Percentage"</w:t>
      </w:r>
      <w:r>
        <w:rPr>
          <w:rFonts w:ascii="Times New Roman" w:hAnsi="Times New Roman"/>
          <w:sz w:val="24"/>
        </w:rPr>
        <w:t xml:space="preserve"> means, as to each Associated Member of a Protected Series, the percentage set forth for that Associated Member in the applicable Series Exhibit, as adjusted from time to time under this Agreement.</w:t>
      </w:r>
    </w:p>
    <w:p>
      <w:pPr>
        <w:spacing w:after="160"/>
        <w:jc w:val="both"/>
      </w:pPr>
      <w:r>
        <w:rPr>
          <w:rFonts w:ascii="Times New Roman" w:hAnsi="Times New Roman"/>
          <w:b/>
          <w:sz w:val="24"/>
        </w:rPr>
        <w:t>2.18 "Transfer"</w:t>
      </w:r>
      <w:r>
        <w:rPr>
          <w:rFonts w:ascii="Times New Roman" w:hAnsi="Times New Roman"/>
          <w:sz w:val="24"/>
        </w:rPr>
        <w:t xml:space="preserve"> means any assignment, transfer, conveyance, devise, gift, pledge, hypothecation, encumbrance, or other disposition, direct or indirect, voluntary or involuntary, in trust or otherwise, and as a verb has a corresponding meaning.</w:t>
      </w:r>
    </w:p>
    <w:p>
      <w:pPr>
        <w:pStyle w:val="Heading1"/>
        <w:keepNext/>
        <w:spacing w:before="240"/>
      </w:pPr>
      <w:r>
        <w:rPr>
          <w:rFonts w:ascii="Times New Roman" w:hAnsi="Times New Roman"/>
          <w:b/>
          <w:sz w:val="26"/>
        </w:rPr>
        <w:t>ARTICLE 3 — PROTECTED SERIES</w:t>
      </w:r>
    </w:p>
    <w:p>
      <w:pPr>
        <w:spacing w:after="160"/>
        <w:jc w:val="both"/>
      </w:pPr>
      <w:r>
        <w:rPr>
          <w:rFonts w:ascii="Times New Roman" w:hAnsi="Times New Roman"/>
          <w:b/>
          <w:sz w:val="24"/>
        </w:rPr>
        <w:t>3.1 Establishment.</w:t>
      </w:r>
      <w:r>
        <w:rPr>
          <w:rFonts w:ascii="Times New Roman" w:hAnsi="Times New Roman"/>
          <w:sz w:val="24"/>
        </w:rPr>
        <w:t xml:space="preserve"> With the affirmative vote or consent of </w:t>
      </w:r>
      <w:r>
        <w:rPr>
          <w:rFonts w:ascii="Times New Roman" w:hAnsi="Times New Roman"/>
          <w:b/>
          <w:sz w:val="24"/>
        </w:rPr>
        <w:t>all</w:t>
      </w:r>
      <w:r>
        <w:rPr>
          <w:rFonts w:ascii="Times New Roman" w:hAnsi="Times New Roman"/>
          <w:sz w:val="24"/>
        </w:rPr>
        <w:t xml:space="preserve"> Members, the Company may establish one or more Protected Series by causing a Protected Series Designation to be signed and filed with the Department as provided in s. 605.2201, Florida Statutes. At or before the filing of each Protected Series Designation, the Members shall adopt a Series Exhibit for the new Protected Series. The Administrative Member is authorized to execute and file each Protected Series Designation approved under this Section.</w:t>
      </w:r>
    </w:p>
    <w:p>
      <w:pPr>
        <w:spacing w:after="160"/>
        <w:jc w:val="both"/>
      </w:pPr>
      <w:r>
        <w:rPr>
          <w:rFonts w:ascii="Times New Roman" w:hAnsi="Times New Roman"/>
          <w:b/>
          <w:sz w:val="24"/>
        </w:rPr>
        <w:t>3.2 Status of Each Protected Series.</w:t>
      </w:r>
      <w:r>
        <w:rPr>
          <w:rFonts w:ascii="Times New Roman" w:hAnsi="Times New Roman"/>
          <w:sz w:val="24"/>
        </w:rPr>
        <w:t xml:space="preserve"> As provided by the Act, each Protected Series:</w:t>
      </w:r>
    </w:p>
    <w:p>
      <w:pPr>
        <w:spacing w:after="160"/>
        <w:jc w:val="both"/>
      </w:pPr>
      <w:r>
        <w:rPr>
          <w:rFonts w:ascii="Times New Roman" w:hAnsi="Times New Roman"/>
          <w:sz w:val="24"/>
        </w:rPr>
        <w:t>(a) is a "person" for purposes of the Act and the Uniform Commercial Code, distinct from the Company, from every other Protected Series, and from each Member;</w:t>
      </w:r>
    </w:p>
    <w:p>
      <w:pPr>
        <w:spacing w:after="160"/>
        <w:jc w:val="both"/>
      </w:pPr>
      <w:r>
        <w:rPr>
          <w:rFonts w:ascii="Times New Roman" w:hAnsi="Times New Roman"/>
          <w:sz w:val="24"/>
        </w:rPr>
        <w:t>(b) may, in its own name, conduct any activity in furtherance of its purpose, exercise the powers described in Section 1.4, and sue and be sued;</w:t>
      </w:r>
    </w:p>
    <w:p>
      <w:pPr>
        <w:spacing w:after="160"/>
        <w:jc w:val="both"/>
      </w:pPr>
      <w:r>
        <w:rPr>
          <w:rFonts w:ascii="Times New Roman" w:hAnsi="Times New Roman"/>
          <w:sz w:val="24"/>
        </w:rPr>
        <w:t xml:space="preserve">(c) is </w:t>
      </w:r>
      <w:r>
        <w:rPr>
          <w:rFonts w:ascii="Times New Roman" w:hAnsi="Times New Roman"/>
          <w:b/>
          <w:sz w:val="24"/>
        </w:rPr>
        <w:t>not</w:t>
      </w:r>
      <w:r>
        <w:rPr>
          <w:rFonts w:ascii="Times New Roman" w:hAnsi="Times New Roman"/>
          <w:sz w:val="24"/>
        </w:rPr>
        <w:t xml:space="preserve"> a separate legal entity capable of existing independently of the Company, may not be a member of the Company, may not itself designate a protected series, and may not merge, convert, domesticate, or engage in an interest exchange except through the single statutory channel provided in s. 605.2604, Florida Statutes; and</w:t>
      </w:r>
    </w:p>
    <w:p>
      <w:pPr>
        <w:spacing w:after="160"/>
        <w:jc w:val="both"/>
      </w:pPr>
      <w:r>
        <w:rPr>
          <w:rFonts w:ascii="Times New Roman" w:hAnsi="Times New Roman"/>
          <w:sz w:val="24"/>
        </w:rPr>
        <w:t>(d) shall be governed by this Agreement, applied to that Protected Series as though the Protected Series were a separate limited liability company, except as its Series Exhibit expressly provides otherwise and except as the Act requires otherwise.</w:t>
      </w:r>
    </w:p>
    <w:p>
      <w:pPr>
        <w:spacing w:after="160"/>
        <w:jc w:val="both"/>
      </w:pPr>
      <w:r>
        <w:rPr>
          <w:rFonts w:ascii="Times New Roman" w:hAnsi="Times New Roman"/>
          <w:b/>
          <w:sz w:val="24"/>
        </w:rPr>
        <w:t>3.3 Limitation of Liability Among Series (Statutory Shields).</w:t>
      </w:r>
      <w:r>
        <w:rPr>
          <w:rFonts w:ascii="Times New Roman" w:hAnsi="Times New Roman"/>
          <w:sz w:val="24"/>
        </w:rPr>
        <w:t xml:space="preserve"> Consistent with s. 605.2401, Florida Statutes:</w:t>
      </w:r>
    </w:p>
    <w:p>
      <w:pPr>
        <w:spacing w:after="160"/>
        <w:jc w:val="both"/>
      </w:pPr>
      <w:r>
        <w:rPr>
          <w:rFonts w:ascii="Times New Roman" w:hAnsi="Times New Roman"/>
          <w:sz w:val="24"/>
        </w:rPr>
        <w:t>(a) A debt, obligation, or other liability of the Company is solely the debt, obligation, or liability of the Company, and is enforceable only against the Associated Assets of the Company;</w:t>
      </w:r>
    </w:p>
    <w:p>
      <w:pPr>
        <w:spacing w:after="160"/>
        <w:jc w:val="both"/>
      </w:pPr>
      <w:r>
        <w:rPr>
          <w:rFonts w:ascii="Times New Roman" w:hAnsi="Times New Roman"/>
          <w:sz w:val="24"/>
        </w:rPr>
        <w:t>(b) A debt, obligation, or other liability of a Protected Series is solely the debt, obligation, or liability of that Protected Series, and is enforceable only against the Associated Assets of that Protected Series;</w:t>
      </w:r>
    </w:p>
    <w:p>
      <w:pPr>
        <w:spacing w:after="160"/>
        <w:jc w:val="both"/>
      </w:pPr>
      <w:r>
        <w:rPr>
          <w:rFonts w:ascii="Times New Roman" w:hAnsi="Times New Roman"/>
          <w:sz w:val="24"/>
        </w:rPr>
        <w:t>(c)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spacing w:after="160"/>
        <w:jc w:val="both"/>
      </w:pPr>
      <w:r>
        <w:rPr>
          <w:rFonts w:ascii="Times New Roman" w:hAnsi="Times New Roman"/>
          <w:sz w:val="24"/>
        </w:rPr>
        <w:t>(d) No Member is personally liable, directly or indirectly, by way of contribution or otherwise, for any debt, obligation, or liability of the Company or of any Protected Series solely by reason of being or acting as a member, manager, or protected-series manager.</w:t>
      </w:r>
    </w:p>
    <w:p>
      <w:pPr>
        <w:spacing w:after="160"/>
        <w:jc w:val="both"/>
      </w:pPr>
      <w:r>
        <w:rPr>
          <w:rFonts w:ascii="Times New Roman" w:hAnsi="Times New Roman"/>
          <w:b/>
          <w:sz w:val="24"/>
        </w:rPr>
        <w:t>3.4 Dissolution of a Protected Series Distinguished.</w:t>
      </w:r>
      <w:r>
        <w:rPr>
          <w:rFonts w:ascii="Times New Roman" w:hAnsi="Times New Roman"/>
          <w:sz w:val="24"/>
        </w:rPr>
        <w:t xml:space="preserve">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spacing w:after="160"/>
        <w:jc w:val="both"/>
      </w:pPr>
      <w:r>
        <w:rPr>
          <w:rFonts w:ascii="Times New Roman" w:hAnsi="Times New Roman"/>
          <w:b/>
          <w:sz w:val="24"/>
        </w:rPr>
        <w:t>3.5 Series Exhibits Control Series Terms.</w:t>
      </w:r>
      <w:r>
        <w:rPr>
          <w:rFonts w:ascii="Times New Roman" w:hAnsi="Times New Roman"/>
          <w:sz w:val="24"/>
        </w:rPr>
        <w:t xml:space="preserve"> The terms specific to each Protected Series — including its name, purpose, Associated Members and their Series Percentages,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or the provisions of Article 8.</w:t>
      </w:r>
    </w:p>
    <w:p>
      <w:pPr>
        <w:pStyle w:val="Heading1"/>
        <w:keepNext/>
        <w:spacing w:before="240"/>
      </w:pPr>
      <w:r>
        <w:rPr>
          <w:rFonts w:ascii="Times New Roman" w:hAnsi="Times New Roman"/>
          <w:b/>
          <w:sz w:val="26"/>
        </w:rPr>
        <w:t>ARTICLE 4 — MEMBERS; VOTING; MEMBER DUTIES</w:t>
      </w:r>
    </w:p>
    <w:p>
      <w:pPr>
        <w:spacing w:after="160"/>
        <w:jc w:val="both"/>
      </w:pPr>
      <w:r>
        <w:rPr>
          <w:rFonts w:ascii="Times New Roman" w:hAnsi="Times New Roman"/>
          <w:b/>
          <w:sz w:val="24"/>
        </w:rPr>
        <w:t>4.1 Members; Percentage Interests.</w:t>
      </w:r>
      <w:r>
        <w:rPr>
          <w:rFonts w:ascii="Times New Roman" w:hAnsi="Times New Roman"/>
          <w:sz w:val="24"/>
        </w:rPr>
        <w:t xml:space="preserve"> The Members and their Percentage Interests are set forth on Exhibit A. Membership interests are of a single class and are expressed as percentages; no certificates shall be issued unless a Majority in Interest determines otherwise.</w:t>
      </w:r>
    </w:p>
    <w:p>
      <w:pPr>
        <w:spacing w:after="160"/>
        <w:jc w:val="both"/>
      </w:pPr>
      <w:r>
        <w:rPr>
          <w:rFonts w:ascii="Times New Roman" w:hAnsi="Times New Roman"/>
          <w:b/>
          <w:sz w:val="24"/>
        </w:rPr>
        <w:t>4.2 Association with Protected Series.</w:t>
      </w:r>
      <w:r>
        <w:rPr>
          <w:rFonts w:ascii="Times New Roman" w:hAnsi="Times New Roman"/>
          <w:sz w:val="24"/>
        </w:rPr>
        <w:t xml:space="preserve"> A Member is an Associated Member of a Protected Series only if, and to the extent, identified as such in the applicable Series Exhibit, and each Associated Member's Series Percentage is as stated there. Only a Member may be an Associated Member of a Protected Series. No Member is associated with any Protected Series except as so identified, and rights, allocations, and distributions in respect of a Protected Series belong exclusively to its Associated Members. For any Protected Series as to which no Member is associated, the Company is deemed the sole Associated Member as provided by the Act.</w:t>
      </w:r>
    </w:p>
    <w:p>
      <w:pPr>
        <w:spacing w:after="160"/>
        <w:jc w:val="both"/>
      </w:pPr>
      <w:r>
        <w:rPr>
          <w:rFonts w:ascii="Times New Roman" w:hAnsi="Times New Roman"/>
          <w:b/>
          <w:sz w:val="24"/>
        </w:rPr>
        <w:t>4.3 Voting.</w:t>
      </w:r>
      <w:r>
        <w:rPr>
          <w:rFonts w:ascii="Times New Roman" w:hAnsi="Times New Roman"/>
          <w:sz w:val="24"/>
        </w:rPr>
        <w:t xml:space="preserve"> Each Member votes in proportion to the Member's Percentage Interest on matters as to which Members are entitled to vote or consent at the Company level, and each Associated Member votes in proportion to the Member's Series Percentage on matters concerning the applicable Protected Series. Except where this Agreement or a non-variable provision of the Act requires a greater vote, the act of a Majority in Interest constitutes the act of the Members (or, for a matter concerning a Protected Series, the act of that Protected Series' Associated Members). A Membership Interest owned by spouses as tenants by the entireties shall be voted only by the consensus of both spouses; neither spouse acting alone may vote the interest except as the other spouse's attorney-in-fact under a duly executed power of attorney.</w:t>
      </w:r>
    </w:p>
    <w:p>
      <w:pPr>
        <w:spacing w:after="160"/>
        <w:jc w:val="both"/>
      </w:pPr>
      <w:r>
        <w:rPr>
          <w:rFonts w:ascii="Times New Roman" w:hAnsi="Times New Roman"/>
          <w:b/>
          <w:sz w:val="24"/>
        </w:rPr>
        <w:t>4.4 Meetings; Written Consents.</w:t>
      </w:r>
      <w:r>
        <w:rPr>
          <w:rFonts w:ascii="Times New Roman" w:hAnsi="Times New Roman"/>
          <w:sz w:val="24"/>
        </w:rPr>
        <w:t xml:space="preserve"> No regular meetings are required. Any Member may call a meeting of the Members (or of the Associated Members of a Protected Series) on at least five (5) days' written notice stating the purpose. Members may participate by any means of remote communication by which all participants can hear one another. Any action that may be taken at a meeting may be taken without a meeting by a written consent signed by Members holding the Percentage Interests (or Series Percentages) required to approve the action, delivered to the Company and maintained with its records, with prompt notice to any non-consenting Member.</w:t>
      </w:r>
    </w:p>
    <w:p>
      <w:pPr>
        <w:spacing w:after="160"/>
        <w:jc w:val="both"/>
      </w:pPr>
      <w:r>
        <w:rPr>
          <w:rFonts w:ascii="Times New Roman" w:hAnsi="Times New Roman"/>
          <w:b/>
          <w:sz w:val="24"/>
        </w:rPr>
        <w:t>4.5 Limited Liability; No Agency.</w:t>
      </w:r>
      <w:r>
        <w:rPr>
          <w:rFonts w:ascii="Times New Roman" w:hAnsi="Times New Roman"/>
          <w:sz w:val="24"/>
        </w:rPr>
        <w:t xml:space="preserve"> No Member shall be personally liable for any debt, obligation, or liability of the Company or of any Protected Series, whether arising in contract, tort, or otherwise, solely by reason of being a Member or Associated Member. No Member is an agent of the Company or of any Protected Series solely by reason of being a member.</w:t>
      </w:r>
    </w:p>
    <w:p>
      <w:pPr>
        <w:spacing w:after="160"/>
        <w:jc w:val="both"/>
      </w:pPr>
      <w:r>
        <w:rPr>
          <w:rFonts w:ascii="Times New Roman" w:hAnsi="Times New Roman"/>
          <w:b/>
          <w:sz w:val="24"/>
        </w:rPr>
        <w:t>4.6 Duty to Participate in Governance.</w:t>
      </w:r>
      <w:r>
        <w:rPr>
          <w:rFonts w:ascii="Times New Roman" w:hAnsi="Times New Roman"/>
          <w:sz w:val="24"/>
        </w:rPr>
        <w:t xml:space="preserve"> Each Member shall materially participate in the governance of the Company and of each Protected Series with which the Member is associated, including by voting or consenting in a timely manner on matters submitted to the Members, attending meetings duly called under Section 4.4 in person or by remote means, furnishing information reasonably requested by the Administrative Member for the Company's or a Protected Series' filings, records, and tax reporting, and executing and delivering instruments reasonably required to carry out actions duly approved under this Agreement.</w:t>
      </w:r>
    </w:p>
    <w:p>
      <w:pPr>
        <w:spacing w:after="160"/>
        <w:jc w:val="both"/>
      </w:pPr>
      <w:r>
        <w:rPr>
          <w:rFonts w:ascii="Times New Roman" w:hAnsi="Times New Roman"/>
          <w:b/>
          <w:sz w:val="24"/>
        </w:rPr>
        <w:t>4.7 Competition. [SELECT ONE ALTERNATIVE — see Instructions]</w:t>
      </w:r>
    </w:p>
    <w:p>
      <w:pPr>
        <w:spacing w:after="160"/>
        <w:jc w:val="both"/>
      </w:pPr>
      <w:r>
        <w:rPr>
          <w:rFonts w:ascii="Times New Roman" w:hAnsi="Times New Roman"/>
          <w:b/>
          <w:sz w:val="24"/>
        </w:rPr>
        <w:t>[ ] Alternative A — Noncompetition.</w:t>
      </w:r>
      <w:r>
        <w:rPr>
          <w:rFonts w:ascii="Times New Roman" w:hAnsi="Times New Roman"/>
          <w:sz w:val="24"/>
        </w:rPr>
        <w:t xml:space="preserve"> Before the dissolution of the Company, no Member shall compete with the Company, or with any Protected Series with which the Member is associated, in the conduct of the Company's or that Protected Series' activities and affairs, consistent with the standard described in s. 605.04091(2)(c), Florida Statutes. This Section does not prohibit a Member from engaging in any business or venture that does not so compete, and Section 4.10 applies to all other activities.</w:t>
      </w:r>
    </w:p>
    <w:p>
      <w:pPr>
        <w:spacing w:after="160"/>
        <w:jc w:val="both"/>
      </w:pPr>
      <w:r>
        <w:rPr>
          <w:rFonts w:ascii="Times New Roman" w:hAnsi="Times New Roman"/>
          <w:b/>
          <w:sz w:val="24"/>
        </w:rPr>
        <w:t>[ ] Alternative B — Competition Permitted.</w:t>
      </w:r>
      <w:r>
        <w:rPr>
          <w:rFonts w:ascii="Times New Roman" w:hAnsi="Times New Roman"/>
          <w:sz w:val="24"/>
        </w:rPr>
        <w:t xml:space="preserve"> Each Member may engage in and possess interests in other business ventures of every kind, whether or not competitive with the activities of the Company or of any Protected Series. Engaging in such ventures shall not be deemed to violate this Agreement or any duty under the Act, no Member is obligated to offer any business opportunity to the Company, any Protected Series, or any other Member, and neither the Company, any Protected Series, nor any Member shall have any right in such ventures or their income by virtue of this Agreement. </w:t>
      </w:r>
      <w:r>
        <w:rPr>
          <w:rFonts w:ascii="Times New Roman" w:hAnsi="Times New Roman"/>
          <w:i/>
          <w:sz w:val="24"/>
        </w:rPr>
        <w:t>(Retain the selected Alternative and delete the other. If Alternative B is selected, replace Section 11.1(c) with "(c) [Reserved.]" — do not renumber.)</w:t>
      </w:r>
    </w:p>
    <w:p>
      <w:pPr>
        <w:spacing w:after="160"/>
        <w:jc w:val="both"/>
      </w:pPr>
      <w:r>
        <w:rPr>
          <w:rFonts w:ascii="Times New Roman" w:hAnsi="Times New Roman"/>
          <w:b/>
          <w:sz w:val="24"/>
        </w:rPr>
        <w:t>4.8 Confidentiality.</w:t>
      </w:r>
      <w:r>
        <w:rPr>
          <w:rFonts w:ascii="Times New Roman" w:hAnsi="Times New Roman"/>
          <w:sz w:val="24"/>
        </w:rPr>
        <w:t xml:space="preserve"> Each Member shall hold in confidence, and shall not disclose or use other than for purposes of the Company or the applicable Protected Series, all confidential information of the Company and of each Protected Series, including financial records, customer and tenant information, contracts, and the contents of the records maintained under Article 8, except for disclosures required by law or made to the Member's professional advisors who are bound to confidentiality.</w:t>
      </w:r>
    </w:p>
    <w:p>
      <w:pPr>
        <w:spacing w:after="160"/>
        <w:jc w:val="both"/>
      </w:pPr>
      <w:r>
        <w:rPr>
          <w:rFonts w:ascii="Times New Roman" w:hAnsi="Times New Roman"/>
          <w:b/>
          <w:sz w:val="24"/>
        </w:rPr>
        <w:t>4.9 Non-Disparagement; No Interference.</w:t>
      </w:r>
      <w:r>
        <w:rPr>
          <w:rFonts w:ascii="Times New Roman" w:hAnsi="Times New Roman"/>
          <w:sz w:val="24"/>
        </w:rPr>
        <w:t xml:space="preserve"> No Member shall hinder or delay the activities and affairs of the Company or of any Protected Series, or slander, defame, or otherwise tarnish the reputation of the Company or of any Protected Series.</w:t>
      </w:r>
    </w:p>
    <w:p>
      <w:pPr>
        <w:spacing w:after="160"/>
        <w:jc w:val="both"/>
      </w:pPr>
      <w:r>
        <w:rPr>
          <w:rFonts w:ascii="Times New Roman" w:hAnsi="Times New Roman"/>
          <w:b/>
          <w:sz w:val="24"/>
        </w:rPr>
        <w:t>4.10 Other Activities.</w:t>
      </w:r>
      <w:r>
        <w:rPr>
          <w:rFonts w:ascii="Times New Roman" w:hAnsi="Times New Roman"/>
          <w:sz w:val="24"/>
        </w:rPr>
        <w:t xml:space="preserve"> Subject to Sections 4.7 through 4.9, each Member may engage in or possess interests in other business ventures of any nature, independently or with others, and neither the Company nor any Protected Series nor any other Member shall have any right in such ventures by virtue of this Agreement.</w:t>
      </w:r>
    </w:p>
    <w:p>
      <w:pPr>
        <w:spacing w:after="160"/>
        <w:jc w:val="both"/>
      </w:pPr>
      <w:r>
        <w:rPr>
          <w:rFonts w:ascii="Times New Roman" w:hAnsi="Times New Roman"/>
          <w:b/>
          <w:sz w:val="24"/>
        </w:rPr>
        <w:t>4.11 Information Rights.</w:t>
      </w:r>
      <w:r>
        <w:rPr>
          <w:rFonts w:ascii="Times New Roman" w:hAnsi="Times New Roman"/>
          <w:sz w:val="24"/>
        </w:rPr>
        <w:t xml:space="preserve"> Each Member has the information and inspection rights provided by the Act with respect to the Company. Information and inspection rights with respect to a particular Protected Series belong to its Associated Members; a Member who is not an Associated Member of a Protected Series has only the information rights with respect to that Protected Series that the Act mandates.</w:t>
      </w:r>
    </w:p>
    <w:p>
      <w:pPr>
        <w:spacing w:after="160"/>
        <w:jc w:val="both"/>
      </w:pPr>
      <w:r>
        <w:rPr>
          <w:rFonts w:ascii="Times New Roman" w:hAnsi="Times New Roman"/>
          <w:b/>
          <w:sz w:val="24"/>
        </w:rPr>
        <w:t>4.12 Transfer on Death Designation.</w:t>
      </w:r>
      <w:r>
        <w:rPr>
          <w:rFonts w:ascii="Times New Roman" w:hAnsi="Times New Roman"/>
          <w:sz w:val="24"/>
        </w:rPr>
        <w:t xml:space="preserve"> Each Member's Membership Interest is "registered" with the Company within the meaning of s. 711.501(7), Florida Statutes. Exhibit A serves as the initial "registration in beneficiary form" under ss. 711.50–711.512, Florida Statutes, and reflects each Member's designation, if any, of the person or persons who will become the owner of that Member's Membership Interest upon that Member's death. A Member may designate any person or entity as a beneficiary. A Member may change, delete, or add a TOD designation by a signed writing, witnessed by two witnesses, delivered to the Administrative Member; the change is effective upon receipt unless the Administrative Member objects in writing within seven (7) days, and the Administrative Member shall thereafter update Exhibit A (though updating is not required for effectiveness). Upon the designating Member's death, the designated beneficiary automatically succeeds to the deceased Member's transferable interest — including the economic rights of the deceased Member's Percentage Interest and Series Percentages — taking subject to this Agreement, and holds the rights of a transferee described in Section 10.3 until admitted as a Member. A beneficiary who is an Immediate Family Member of the deceased Member is admitted as a Member upon delivery to the Company of a written agreement to be bound by this Agreement; any other beneficiary is admitted as a Member upon such delivery and the written consent of a Majority in Interest of the Members other than the deceased Member.</w:t>
      </w:r>
    </w:p>
    <w:p>
      <w:pPr>
        <w:pStyle w:val="Heading1"/>
        <w:keepNext/>
        <w:spacing w:before="240"/>
      </w:pPr>
      <w:r>
        <w:rPr>
          <w:rFonts w:ascii="Times New Roman" w:hAnsi="Times New Roman"/>
          <w:b/>
          <w:sz w:val="26"/>
        </w:rPr>
        <w:t>ARTICLE 5 — MANAGEMENT BY THE MEMBERS</w:t>
      </w:r>
    </w:p>
    <w:p>
      <w:pPr>
        <w:spacing w:after="160"/>
        <w:jc w:val="both"/>
      </w:pPr>
      <w:r>
        <w:rPr>
          <w:rFonts w:ascii="Times New Roman" w:hAnsi="Times New Roman"/>
          <w:b/>
          <w:sz w:val="24"/>
        </w:rPr>
        <w:t>5.1 Member-Managed.</w:t>
      </w:r>
      <w:r>
        <w:rPr>
          <w:rFonts w:ascii="Times New Roman" w:hAnsi="Times New Roman"/>
          <w:sz w:val="24"/>
        </w:rPr>
        <w:t xml:space="preserve"> The Company is </w:t>
      </w:r>
      <w:r>
        <w:rPr>
          <w:rFonts w:ascii="Times New Roman" w:hAnsi="Times New Roman"/>
          <w:b/>
          <w:sz w:val="24"/>
        </w:rPr>
        <w:t>member-managed</w:t>
      </w:r>
      <w:r>
        <w:rPr>
          <w:rFonts w:ascii="Times New Roman" w:hAnsi="Times New Roman"/>
          <w:sz w:val="24"/>
        </w:rPr>
        <w:t xml:space="preserve"> as provided in its Articles of Organization and this Agreement. The management and conduct of the activities and affairs of the Company are vested in the Members. There is no manager, and no person shall be designated or hold out as a manager of the Company or of any Protected Series.</w:t>
      </w:r>
    </w:p>
    <w:p>
      <w:pPr>
        <w:spacing w:after="160"/>
        <w:jc w:val="both"/>
      </w:pPr>
      <w:r>
        <w:rPr>
          <w:rFonts w:ascii="Times New Roman" w:hAnsi="Times New Roman"/>
          <w:b/>
          <w:sz w:val="24"/>
        </w:rPr>
        <w:t>5.2 Management of Each Protected Series.</w:t>
      </w:r>
      <w:r>
        <w:rPr>
          <w:rFonts w:ascii="Times New Roman" w:hAnsi="Times New Roman"/>
          <w:sz w:val="24"/>
        </w:rPr>
        <w:t xml:space="preserve"> Each Protected Series is managed by its Associated Members. All decisions with respect to a Protected Series are made by a Majority in Interest of its Associated Members, determined by Series Percentages. If a Protected Series has no Associated Member other than the Company, it is managed by a Majority in Interest of the Members.</w:t>
      </w:r>
    </w:p>
    <w:p>
      <w:pPr>
        <w:spacing w:after="160"/>
        <w:jc w:val="both"/>
      </w:pPr>
      <w:r>
        <w:rPr>
          <w:rFonts w:ascii="Times New Roman" w:hAnsi="Times New Roman"/>
          <w:b/>
          <w:sz w:val="24"/>
        </w:rPr>
        <w:t>5.3 Voting; Decisions.</w:t>
      </w:r>
      <w:r>
        <w:rPr>
          <w:rFonts w:ascii="Times New Roman" w:hAnsi="Times New Roman"/>
          <w:sz w:val="24"/>
        </w:rPr>
        <w:t xml:space="preserve"> Each Member's vote is proportionate to that Member's Percentage Interest, and each Associated Member's vote with respect to a Protected Series is proportionate to that Associated Member's Series Percentage. Except where this Agreement or the Act requires a greater vote, any act may be undertaken, and any difference among the Members may be decided, by a Majority in Interest — whether the act is within or outside the ordinary course of the activities and affairs of the Company or the applicable Protected Series.</w:t>
      </w:r>
    </w:p>
    <w:p>
      <w:pPr>
        <w:spacing w:after="160"/>
        <w:jc w:val="both"/>
      </w:pPr>
      <w:r>
        <w:rPr>
          <w:rFonts w:ascii="Times New Roman" w:hAnsi="Times New Roman"/>
          <w:b/>
          <w:sz w:val="24"/>
        </w:rPr>
        <w:t>5.4 Authority to Act; Limits on Authority.</w:t>
      </w:r>
      <w:r>
        <w:rPr>
          <w:rFonts w:ascii="Times New Roman" w:hAnsi="Times New Roman"/>
          <w:sz w:val="24"/>
        </w:rPr>
        <w:t xml:space="preserve"> Each Member is an agent of the Company for the purpose of its activities and affairs to the extent provided by the Act. As among the Members, and notwithstanding that authority:</w:t>
      </w:r>
    </w:p>
    <w:p>
      <w:pPr>
        <w:spacing w:after="160"/>
        <w:jc w:val="both"/>
      </w:pPr>
      <w:r>
        <w:rPr>
          <w:rFonts w:ascii="Times New Roman" w:hAnsi="Times New Roman"/>
          <w:sz w:val="24"/>
        </w:rPr>
        <w:t>(a) no Member acting alone has actual authority to undertake any act outside the ordinary course of the activities and affairs of the Company or of a Protected Series, or any act listed in Section 5.5, without the approval there stated;</w:t>
      </w:r>
    </w:p>
    <w:p>
      <w:pPr>
        <w:spacing w:after="160"/>
        <w:jc w:val="both"/>
      </w:pPr>
      <w:r>
        <w:rPr>
          <w:rFonts w:ascii="Times New Roman" w:hAnsi="Times New Roman"/>
          <w:sz w:val="24"/>
        </w:rPr>
        <w:t>(b) no Member acting alone has actual authority to sell, convey, mortgage, pledge, or otherwise encumber any interest in real property of the Company or of any Protected Series, or to execute any instrument affecting such an interest, without the consent of a Majority in Interest and, as to a Protected Series, a Majority in Interest of its Associated Members; and</w:t>
      </w:r>
    </w:p>
    <w:p>
      <w:pPr>
        <w:spacing w:after="160"/>
        <w:jc w:val="both"/>
      </w:pPr>
      <w:r>
        <w:rPr>
          <w:rFonts w:ascii="Times New Roman" w:hAnsi="Times New Roman"/>
          <w:sz w:val="24"/>
        </w:rPr>
        <w:t>(c) a Member who exceeds the authority conferred by this Agreement is liable to the Company or the affected Protected Series for any loss caused by that act, and the Company or Protected Series is entitled to indemnity from that Member.</w:t>
      </w:r>
    </w:p>
    <w:p>
      <w:pPr>
        <w:spacing w:after="160"/>
        <w:jc w:val="both"/>
      </w:pPr>
      <w:r>
        <w:rPr>
          <w:rFonts w:ascii="Times New Roman" w:hAnsi="Times New Roman"/>
          <w:b/>
          <w:sz w:val="24"/>
        </w:rPr>
        <w:t>5.5 Actions Requiring Member Approval.</w:t>
      </w:r>
      <w:r>
        <w:rPr>
          <w:rFonts w:ascii="Times New Roman" w:hAnsi="Times New Roman"/>
          <w:sz w:val="24"/>
        </w:rPr>
        <w:t xml:space="preserve"> No Member shall do any of the following without the approval stated:</w:t>
      </w:r>
    </w:p>
    <w:p>
      <w:pPr>
        <w:spacing w:after="160"/>
        <w:jc w:val="both"/>
      </w:pPr>
      <w:r>
        <w:rPr>
          <w:rFonts w:ascii="Times New Roman" w:hAnsi="Times New Roman"/>
          <w:sz w:val="24"/>
        </w:rPr>
        <w:t xml:space="preserve">(a) establish a new Protected Series — the consent of </w:t>
      </w:r>
      <w:r>
        <w:rPr>
          <w:rFonts w:ascii="Times New Roman" w:hAnsi="Times New Roman"/>
          <w:b/>
          <w:sz w:val="24"/>
        </w:rPr>
        <w:t>all Members</w:t>
      </w:r>
      <w:r>
        <w:rPr>
          <w:rFonts w:ascii="Times New Roman" w:hAnsi="Times New Roman"/>
          <w:sz w:val="24"/>
        </w:rPr>
        <w:t xml:space="preserve"> (Section 3.1);</w:t>
      </w:r>
    </w:p>
    <w:p>
      <w:pPr>
        <w:spacing w:after="160"/>
        <w:jc w:val="both"/>
      </w:pPr>
      <w:r>
        <w:rPr>
          <w:rFonts w:ascii="Times New Roman" w:hAnsi="Times New Roman"/>
          <w:sz w:val="24"/>
        </w:rPr>
        <w:t xml:space="preserve">(b) </w:t>
      </w:r>
      <w:r>
        <w:rPr>
          <w:rFonts w:ascii="Times New Roman" w:hAnsi="Times New Roman"/>
          <w:b/>
          <w:sz w:val="24"/>
        </w:rPr>
        <w:t>transfer, re-associate, or re-title any asset between the Company and a Protected Series or between Protected Series</w:t>
      </w:r>
      <w:r>
        <w:rPr>
          <w:rFonts w:ascii="Times New Roman" w:hAnsi="Times New Roman"/>
          <w:sz w:val="24"/>
        </w:rPr>
        <w:t xml:space="preserve"> (an "Inter-Series Transfer") — the consent of a Majority in Interest and, as to each Protected Series affected, a Majority in Interest of its Associated Members;</w:t>
      </w:r>
    </w:p>
    <w:p>
      <w:pPr>
        <w:spacing w:after="160"/>
        <w:jc w:val="both"/>
      </w:pPr>
      <w:r>
        <w:rPr>
          <w:rFonts w:ascii="Times New Roman" w:hAnsi="Times New Roman"/>
          <w:sz w:val="24"/>
        </w:rPr>
        <w:t>(c) sell, exchange, or otherwise dispose of all or substantially all of the Associated Assets of the Company or of any Protected Series, other than in the ordinary course — the consent of a Majority in Interest (of the Company or of the affected Protected Series' Associated Members, as applicable);</w:t>
      </w:r>
    </w:p>
    <w:p>
      <w:pPr>
        <w:spacing w:after="160"/>
        <w:jc w:val="both"/>
      </w:pPr>
      <w:r>
        <w:rPr>
          <w:rFonts w:ascii="Times New Roman" w:hAnsi="Times New Roman"/>
          <w:sz w:val="24"/>
        </w:rPr>
        <w:t xml:space="preserve">(d) merge the Company as permitted by the Act — the consent of </w:t>
      </w:r>
      <w:r>
        <w:rPr>
          <w:rFonts w:ascii="Times New Roman" w:hAnsi="Times New Roman"/>
          <w:b/>
          <w:sz w:val="24"/>
        </w:rPr>
        <w:t>all Members</w:t>
      </w:r>
      <w:r>
        <w:rPr>
          <w:rFonts w:ascii="Times New Roman" w:hAnsi="Times New Roman"/>
          <w:sz w:val="24"/>
        </w:rPr>
        <w:t>; or file a statement of dissolution of a Protected Series — the approval required by Section 14.1;</w:t>
      </w:r>
    </w:p>
    <w:p>
      <w:pPr>
        <w:spacing w:after="160"/>
        <w:jc w:val="both"/>
      </w:pPr>
      <w:r>
        <w:rPr>
          <w:rFonts w:ascii="Times New Roman" w:hAnsi="Times New Roman"/>
          <w:sz w:val="24"/>
        </w:rPr>
        <w:t>(e) admit any additional Member, or associate any person with a Protected Series — the approval required by Article 12;</w:t>
      </w:r>
    </w:p>
    <w:p>
      <w:pPr>
        <w:spacing w:after="160"/>
        <w:jc w:val="both"/>
      </w:pPr>
      <w:r>
        <w:rPr>
          <w:rFonts w:ascii="Times New Roman" w:hAnsi="Times New Roman"/>
          <w:sz w:val="24"/>
        </w:rPr>
        <w:t>(f) incur, on behalf of the Company or any Protected Series, indebtedness in excess of $[THRESHOLD] in a single transaction or series of related transactions, or guarantee the obligation of any person (and no guarantee of the obligations of one Protected Series by another or by the Company shall be made except by an express written instrument approved under this Section) — the consent of a Majority in Interest (of the Company or of the affected Protected Series' Associated Members, as applicable);</w:t>
      </w:r>
    </w:p>
    <w:p>
      <w:pPr>
        <w:spacing w:after="160"/>
        <w:jc w:val="both"/>
      </w:pPr>
      <w:r>
        <w:rPr>
          <w:rFonts w:ascii="Times New Roman" w:hAnsi="Times New Roman"/>
          <w:sz w:val="24"/>
        </w:rPr>
        <w:t>(g) lend money of the Company or of a Protected Series to, or borrow from, a Member or an affiliate of a Member, other than loans under Section 6.5 — the consent of a Majority in Interest of the disinterested Members (or disinterested Associated Members, as applicable); or</w:t>
      </w:r>
    </w:p>
    <w:p>
      <w:pPr>
        <w:spacing w:after="160"/>
        <w:jc w:val="both"/>
      </w:pPr>
      <w:r>
        <w:rPr>
          <w:rFonts w:ascii="Times New Roman" w:hAnsi="Times New Roman"/>
          <w:sz w:val="24"/>
        </w:rPr>
        <w:t>(h) amend this Agreement or any Series Exhibit — the approval required by Section 15.1.</w:t>
      </w:r>
    </w:p>
    <w:p>
      <w:pPr>
        <w:spacing w:after="160"/>
        <w:jc w:val="both"/>
      </w:pPr>
      <w:r>
        <w:rPr>
          <w:rFonts w:ascii="Times New Roman" w:hAnsi="Times New Roman"/>
          <w:b/>
          <w:sz w:val="24"/>
        </w:rPr>
        <w:t>5.6 Standard of Conduct; Exculpation.</w:t>
      </w:r>
      <w:r>
        <w:rPr>
          <w:rFonts w:ascii="Times New Roman" w:hAnsi="Times New Roman"/>
          <w:sz w:val="24"/>
        </w:rPr>
        <w:t xml:space="preserve"> Each Member shall discharge the duties of a member of a member-managed limited liability company consistent with the Act, which are not varied by this Agreement except to the extent expressly permitted by s. 605.0105, Florida Statutes. No Member shall be liable to the Company, any Protected Series, or any other Member for any act or omission performed or omitted in good faith and in a manner reasonably believed to be within the scope of authority conferred by this Agreement, except for conduct for which exoneration is prohibited by the Act.</w:t>
      </w:r>
    </w:p>
    <w:p>
      <w:pPr>
        <w:spacing w:after="160"/>
        <w:jc w:val="both"/>
      </w:pPr>
      <w:r>
        <w:rPr>
          <w:rFonts w:ascii="Times New Roman" w:hAnsi="Times New Roman"/>
          <w:b/>
          <w:sz w:val="24"/>
        </w:rPr>
        <w:t>5.7 Indemnification.</w:t>
      </w:r>
      <w:r>
        <w:rPr>
          <w:rFonts w:ascii="Times New Roman" w:hAnsi="Times New Roman"/>
          <w:sz w:val="24"/>
        </w:rPr>
        <w:t xml:space="preserve"> The Company shall indemnify each Member, and each Protected Series shall indemnify each of its Associated Members, to the fullest extent permitted by the Act, against losses, claims, and expenses (including reasonable attorney's fees) incurred by reason of acting in the management of the Company or that Protected Series, except to the extent arising from conduct for which exoneration is prohibited by the Act or from an act exceeding the authority conferred by Section 5.4; </w:t>
      </w:r>
      <w:r>
        <w:rPr>
          <w:rFonts w:ascii="Times New Roman" w:hAnsi="Times New Roman"/>
          <w:b/>
          <w:sz w:val="24"/>
        </w:rPr>
        <w:t>provided, that any indemnification obligation relating to the activities of a particular Protected Series is an Associated Liability of that Protected Series, payable solely from its Associated Assets</w:t>
      </w:r>
      <w:r>
        <w:rPr>
          <w:rFonts w:ascii="Times New Roman" w:hAnsi="Times New Roman"/>
          <w:sz w:val="24"/>
        </w:rPr>
        <w:t>, and any indemnification obligation relating to the activities of the Company generally is payable solely from the Associated Assets of the Company.</w:t>
      </w:r>
    </w:p>
    <w:p>
      <w:pPr>
        <w:spacing w:after="160"/>
        <w:jc w:val="both"/>
      </w:pPr>
      <w:r>
        <w:rPr>
          <w:rFonts w:ascii="Times New Roman" w:hAnsi="Times New Roman"/>
          <w:b/>
          <w:sz w:val="24"/>
        </w:rPr>
        <w:t>5.8 Administrative Member.</w:t>
      </w:r>
      <w:r>
        <w:rPr>
          <w:rFonts w:ascii="Times New Roman" w:hAnsi="Times New Roman"/>
          <w:sz w:val="24"/>
        </w:rPr>
        <w:t xml:space="preserve"> A Majority in Interest may designate one Member as the "Administrative Member" to perform the ministerial functions assigned to that role by this Agreement, including making filings with the Department, maintaining the records required by Article 8, preparing and filing tax returns, and updating Exhibit A and the Series Exhibits to reflect changes properly made. The Administrative Member serves at the pleasure of a Majority in Interest, has no authority beyond that expressly conferred by this Agreement or by a Majority in Interest, and is not a manager of the Company. Until a designation is made, and whenever the office is vacant, the functions of the Administrative Member shall be performed by a Majority in Interest.</w:t>
      </w:r>
    </w:p>
    <w:p>
      <w:pPr>
        <w:spacing w:after="160"/>
        <w:jc w:val="both"/>
      </w:pPr>
      <w:r>
        <w:rPr>
          <w:rFonts w:ascii="Times New Roman" w:hAnsi="Times New Roman"/>
          <w:b/>
          <w:sz w:val="24"/>
        </w:rPr>
        <w:t>5.9 Statement of Authority.</w:t>
      </w:r>
      <w:r>
        <w:rPr>
          <w:rFonts w:ascii="Times New Roman" w:hAnsi="Times New Roman"/>
          <w:sz w:val="24"/>
        </w:rPr>
        <w:t xml:space="preserve"> If the Company or any Protected Series holds or acquires an interest in real property, the Members shall cause the Company to file with the Department a statement of authority under s. 605.0302, Florida Statutes, stating the authority, and the limitations on the authority, of Members to transfer or encumber real property held in the name of the Company or of that Protected Series, and shall cause a certified copy of that statement to be recorded in the official records of each county in which the real property is located. The Members shall cause the statement to be amended or cancelled as necessary to keep it accurate. The limitations in Section 5.4(b) apply among the Members whether or not a statement of authority is on record.</w:t>
      </w:r>
    </w:p>
    <w:p>
      <w:pPr>
        <w:spacing w:after="160"/>
        <w:jc w:val="both"/>
      </w:pPr>
      <w:r>
        <w:rPr>
          <w:rFonts w:ascii="Times New Roman" w:hAnsi="Times New Roman"/>
          <w:b/>
          <w:sz w:val="24"/>
        </w:rPr>
        <w:t>5.10 Compensation; Reimbursement; Shared Expenses.</w:t>
      </w:r>
      <w:r>
        <w:rPr>
          <w:rFonts w:ascii="Times New Roman" w:hAnsi="Times New Roman"/>
          <w:sz w:val="24"/>
        </w:rPr>
        <w:t xml:space="preserve"> No Member shall receive a salary for acting in the management of the Company or of a Protected Series unless a Majority in Interest consents in writing to compensation. Each Member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a Majority in Interest — by specific attribution where practicable and otherwise pro rata or by such other reasonable formula as a Majority in Interest adopts — and the allocation shall be recorded in the records maintained under Article 8.</w:t>
      </w:r>
    </w:p>
    <w:p>
      <w:pPr>
        <w:pStyle w:val="Heading1"/>
        <w:keepNext/>
        <w:spacing w:before="240"/>
      </w:pPr>
      <w:r>
        <w:rPr>
          <w:rFonts w:ascii="Times New Roman" w:hAnsi="Times New Roman"/>
          <w:b/>
          <w:sz w:val="26"/>
        </w:rPr>
        <w:t>ARTICLE 6 — CAPITAL; CAPITAL ACCOUNTS</w:t>
      </w:r>
    </w:p>
    <w:p>
      <w:pPr>
        <w:spacing w:after="160"/>
        <w:jc w:val="both"/>
      </w:pPr>
      <w:r>
        <w:rPr>
          <w:rFonts w:ascii="Times New Roman" w:hAnsi="Times New Roman"/>
          <w:b/>
          <w:sz w:val="24"/>
        </w:rPr>
        <w:t>6.1 Initial Contributions.</w:t>
      </w:r>
      <w:r>
        <w:rPr>
          <w:rFonts w:ascii="Times New Roman" w:hAnsi="Times New Roman"/>
          <w:sz w:val="24"/>
        </w:rPr>
        <w:t xml:space="preserve"> Each Member's contributions to the Company, and each Associated Member's contributions to each Protected Series, are set forth on Exhibit A and in the applicable Series Exhibits. Each contribution shall identify whether it is made to the Company or to a specific Protected Series, and shall be deposited to, and recorded in the records of, the recipient. A promise by a Member to make a contribution is enforceable only if set out in a writing signed by the Member.</w:t>
      </w:r>
    </w:p>
    <w:p>
      <w:pPr>
        <w:spacing w:after="160"/>
        <w:jc w:val="both"/>
      </w:pPr>
      <w:r>
        <w:rPr>
          <w:rFonts w:ascii="Times New Roman" w:hAnsi="Times New Roman"/>
          <w:b/>
          <w:sz w:val="24"/>
        </w:rPr>
        <w:t>6.2 Additional Capital Contributions. [OPTIONAL PROVISION — include or omit; see Instructions]</w:t>
      </w:r>
      <w:r>
        <w:rPr>
          <w:rFonts w:ascii="Times New Roman" w:hAnsi="Times New Roman"/>
          <w:sz w:val="24"/>
        </w:rPr>
        <w:t xml:space="preserve"> Upon the approval of a Majority in Interest (or, for a capital need of a particular Protected Series, a Majority in Interest of its Associated Members), each Member (or each Associated Member of the affected Protected Series) shall have the duty and obligation to contribute additional capital to the Company or to the affected Protected Series, in proportion to the Members' Percentage Interests (or the Associated Members' Series Percentages), in the aggregate amount so approved, payable within thirty (30) days after written notice of the approved call; provided, that unless approved by all Members, no Member shall be required to contribute more than $[CAP] in the aggregate in any calendar year under this Section. This obligation is a material, unperformed, future obligation of each Member within the meaning of Section 11.1. </w:t>
      </w:r>
      <w:r>
        <w:rPr>
          <w:rFonts w:ascii="Times New Roman" w:hAnsi="Times New Roman"/>
          <w:i/>
          <w:sz w:val="24"/>
        </w:rPr>
        <w:t>(To omit this provision, replace the text of this Section 6.2 and of Section 6.3 with "[Reserved.]" and replace Section 11.1(a) with "(a) [Reserved.]" — do not renumber any section. If omitted, no Member has any obligation to contribute capital beyond Section 6.1.)</w:t>
      </w:r>
    </w:p>
    <w:p>
      <w:pPr>
        <w:spacing w:after="160"/>
        <w:jc w:val="both"/>
      </w:pPr>
      <w:r>
        <w:rPr>
          <w:rFonts w:ascii="Times New Roman" w:hAnsi="Times New Roman"/>
          <w:b/>
          <w:sz w:val="24"/>
        </w:rPr>
        <w:t>6.3 Failure to Contribute.</w:t>
      </w:r>
      <w:r>
        <w:rPr>
          <w:rFonts w:ascii="Times New Roman" w:hAnsi="Times New Roman"/>
          <w:sz w:val="24"/>
        </w:rPr>
        <w:t xml:space="preserve"> If a Member fails to pay an additional capital contribution required under Section 6.2 when due, the Company (or the affected Protected Series) may pursue any remedy available at law or in equity for the failure, and in addition, the non-defaulting Members who elect to do so may advance the defaulted amount, in which case the Percentage Interests (or Series Percentages) of the defaulting and advancing Members shall be adjusted to reflect the aggregate capital contributed by each Member following the advance.</w:t>
      </w:r>
    </w:p>
    <w:p>
      <w:pPr>
        <w:spacing w:after="160"/>
        <w:jc w:val="both"/>
      </w:pPr>
      <w:r>
        <w:rPr>
          <w:rFonts w:ascii="Times New Roman" w:hAnsi="Times New Roman"/>
          <w:b/>
          <w:sz w:val="24"/>
        </w:rPr>
        <w:t>6.4 No Interest; No Withdrawal.</w:t>
      </w:r>
      <w:r>
        <w:rPr>
          <w:rFonts w:ascii="Times New Roman" w:hAnsi="Times New Roman"/>
          <w:sz w:val="24"/>
        </w:rPr>
        <w:t xml:space="preserve"> No interest shall be paid on any contribution. No Member may withdraw or demand the return of any contribution except as this Agreement provides.</w:t>
      </w:r>
    </w:p>
    <w:p>
      <w:pPr>
        <w:spacing w:after="160"/>
        <w:jc w:val="both"/>
      </w:pPr>
      <w:r>
        <w:rPr>
          <w:rFonts w:ascii="Times New Roman" w:hAnsi="Times New Roman"/>
          <w:b/>
          <w:sz w:val="24"/>
        </w:rPr>
        <w:t>6.5 Member Loans.</w:t>
      </w:r>
      <w:r>
        <w:rPr>
          <w:rFonts w:ascii="Times New Roman" w:hAnsi="Times New Roman"/>
          <w:sz w:val="24"/>
        </w:rPr>
        <w:t xml:space="preserve"> A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w:t>
      </w:r>
    </w:p>
    <w:p>
      <w:pPr>
        <w:spacing w:after="160"/>
        <w:jc w:val="both"/>
      </w:pPr>
      <w:r>
        <w:rPr>
          <w:rFonts w:ascii="Times New Roman" w:hAnsi="Times New Roman"/>
          <w:b/>
          <w:sz w:val="24"/>
        </w:rPr>
        <w:t>6.6 Capital Accounts.</w:t>
      </w:r>
      <w:r>
        <w:rPr>
          <w:rFonts w:ascii="Times New Roman" w:hAnsi="Times New Roman"/>
          <w:sz w:val="24"/>
        </w:rPr>
        <w:t xml:space="preserve"> A capital account shall be established and maintained for each Member, with separate sub-accounts reflecting the Member's capital in the Company and in each Protected Series with which the Member is associated. Capital accounts shall be maintained in accordance with the capital accounting rules of section 704(b) of the Internal Revenue Code of 1986, as amended (the "Code"), and the Treasury Regulations thereunder, and shall be credited with contributions and allocations of profit and debited with distributions and allocations of loss as so required. A transferee of all or part of a Membership Interest succeeds to the portion of the transferor's capital account (and sub-accounts) attributable to the transferred interest. Nothing in this Agreement creates a deficit restoration obligation or otherwise personally obligates any Member to contribute capital beyond the contributions required by Sections 6.1 and 6.2.</w:t>
      </w:r>
    </w:p>
    <w:p>
      <w:pPr>
        <w:spacing w:after="160"/>
        <w:jc w:val="both"/>
      </w:pPr>
      <w:r>
        <w:rPr>
          <w:rFonts w:ascii="Times New Roman" w:hAnsi="Times New Roman"/>
          <w:b/>
          <w:sz w:val="24"/>
        </w:rPr>
        <w:t>6.7 No Right to Specific Property.</w:t>
      </w:r>
      <w:r>
        <w:rPr>
          <w:rFonts w:ascii="Times New Roman" w:hAnsi="Times New Roman"/>
          <w:sz w:val="24"/>
        </w:rPr>
        <w:t xml:space="preserve"> No Member has any right to demand or receive any distribution in any specific property of the Company or of any Protected Series.</w:t>
      </w:r>
    </w:p>
    <w:p>
      <w:pPr>
        <w:pStyle w:val="Heading1"/>
        <w:keepNext/>
        <w:spacing w:before="240"/>
      </w:pPr>
      <w:r>
        <w:rPr>
          <w:rFonts w:ascii="Times New Roman" w:hAnsi="Times New Roman"/>
          <w:b/>
          <w:sz w:val="26"/>
        </w:rPr>
        <w:t>ARTICLE 7 — ALLOCATIONS AND DISTRIBUTIONS</w:t>
      </w:r>
    </w:p>
    <w:p>
      <w:pPr>
        <w:spacing w:after="160"/>
        <w:jc w:val="both"/>
      </w:pPr>
      <w:r>
        <w:rPr>
          <w:rFonts w:ascii="Times New Roman" w:hAnsi="Times New Roman"/>
          <w:b/>
          <w:sz w:val="24"/>
        </w:rPr>
        <w:t>7.1 Allocations.</w:t>
      </w:r>
      <w:r>
        <w:rPr>
          <w:rFonts w:ascii="Times New Roman" w:hAnsi="Times New Roman"/>
          <w:sz w:val="24"/>
        </w:rPr>
        <w:t xml:space="preserve"> Profits, losses, and each item of income, gain, loss, deduction, and credit of each Protected Series shall be allocated among its Associated Members in proportion to their Series Percentages, and those of the Company (exclusive of every Protected Series) shall be allocated among the Members in proportion to their Percentage Interests. Notwithstanding the foregoing, allocations shall be made in a manner consistent with the capital-account maintenance rules of section 704(b) of the Code and the Treasury Regulations thereunder — including, to the extent required, a qualified income offset, minimum-gain chargebacks, and limitations on loss allocations that would create or increase an impermissible deficit — and allocations with respect to property contributed with a value different from its adjusted basis shall be made in accordance with section 704(c) of the Code. The Administrative Member shall apply this Section so that the allocations have substantial economic effect and shall resolve questions of application consistently and in good faith.</w:t>
      </w:r>
    </w:p>
    <w:p>
      <w:pPr>
        <w:spacing w:after="160"/>
        <w:jc w:val="both"/>
      </w:pPr>
      <w:r>
        <w:rPr>
          <w:rFonts w:ascii="Times New Roman" w:hAnsi="Times New Roman"/>
          <w:b/>
          <w:sz w:val="24"/>
        </w:rPr>
        <w:t>7.2 Distributions.</w:t>
      </w:r>
      <w:r>
        <w:rPr>
          <w:rFonts w:ascii="Times New Roman" w:hAnsi="Times New Roman"/>
          <w:sz w:val="24"/>
        </w:rPr>
        <w:t xml:space="preserve"> A Majority in Interest (or, as to a Protected Series, a Majority in Interest of its Associated Members) may from time to time determine the extent to which cash on hand of the Company or of a Protected Series exceeds current and anticipated needs, including operating expenses, debt service, acquisitions, and reserves, and may distribute any such excess. Distributions in respect of a Protected Series shall be made </w:t>
      </w:r>
      <w:r>
        <w:rPr>
          <w:rFonts w:ascii="Times New Roman" w:hAnsi="Times New Roman"/>
          <w:b/>
          <w:sz w:val="24"/>
        </w:rPr>
        <w:t>solely from the Associated Assets of that Protected Series, and solely to its Associated Members in proportion to their Series Percentages</w:t>
      </w:r>
      <w:r>
        <w:rPr>
          <w:rFonts w:ascii="Times New Roman" w:hAnsi="Times New Roman"/>
          <w:sz w:val="24"/>
        </w:rPr>
        <w:t>; distributions in respect of the Company shall be made solely from the Associated Assets of the Company, to the Members in proportion to their Percentage Interests. Each distribution shall be recorded in the records maintained under Article 8, identifying its source.</w:t>
      </w:r>
    </w:p>
    <w:p>
      <w:pPr>
        <w:spacing w:after="160"/>
        <w:jc w:val="both"/>
      </w:pPr>
      <w:r>
        <w:rPr>
          <w:rFonts w:ascii="Times New Roman" w:hAnsi="Times New Roman"/>
          <w:b/>
          <w:sz w:val="24"/>
        </w:rPr>
        <w:t>7.3 Tax Distributions.</w:t>
      </w:r>
      <w:r>
        <w:rPr>
          <w:rFonts w:ascii="Times New Roman" w:hAnsi="Times New Roman"/>
          <w:sz w:val="24"/>
        </w:rPr>
        <w:t xml:space="preserve"> To the extent of available cash of the Company or the applicable Protected Series, a Majority in Interest may cause distributions to be made intended to enable each Member to satisfy federal and state income tax liabilities attributable to the Member's distributive share of income, and is authorized to pay any such amount directly to the government agency responsible for collection of the tax on the Member's behalf. Tax distributions in respect of a Protected Series shall be made solely from its Associated Assets and treated as advances against later distributions under Section 7.2.</w:t>
      </w:r>
    </w:p>
    <w:p>
      <w:pPr>
        <w:spacing w:after="160"/>
        <w:jc w:val="both"/>
      </w:pPr>
      <w:r>
        <w:rPr>
          <w:rFonts w:ascii="Times New Roman" w:hAnsi="Times New Roman"/>
          <w:b/>
          <w:sz w:val="24"/>
        </w:rPr>
        <w:t>7.4 Statutory Limitations.</w:t>
      </w:r>
      <w:r>
        <w:rPr>
          <w:rFonts w:ascii="Times New Roman" w:hAnsi="Times New Roman"/>
          <w:sz w:val="24"/>
        </w:rPr>
        <w:t xml:space="preserve"> No distribution shall be made to the extent prohibited by the limitations of the Act applicable to distributions, applied separately to the Company and to each Protected Series as the Act provides.</w:t>
      </w:r>
    </w:p>
    <w:p>
      <w:pPr>
        <w:pStyle w:val="Heading1"/>
        <w:keepNext/>
        <w:spacing w:before="240"/>
      </w:pPr>
      <w:r>
        <w:rPr>
          <w:rFonts w:ascii="Times New Roman" w:hAnsi="Times New Roman"/>
          <w:b/>
          <w:sz w:val="26"/>
        </w:rPr>
        <w:t>ARTICLE 8 — RECORDS; MAINTENANCE OF THE LIABILITY SHIELDS</w:t>
      </w:r>
    </w:p>
    <w:p>
      <w:pPr>
        <w:spacing w:after="160"/>
        <w:jc w:val="both"/>
      </w:pPr>
      <w:r>
        <w:rPr>
          <w:rFonts w:ascii="Times New Roman" w:hAnsi="Times New Roman"/>
          <w:b/>
          <w:sz w:val="24"/>
        </w:rPr>
        <w:t>8.1 Records Covenants.</w:t>
      </w:r>
      <w:r>
        <w:rPr>
          <w:rFonts w:ascii="Times New Roman" w:hAnsi="Times New Roman"/>
          <w:sz w:val="24"/>
        </w:rPr>
        <w:t xml:space="preserve"> The Company and each Protected Series shall create and maintain records satisfying s. 605.2301, Florida Statutes, in accordance with this Article. This Article may not be varied by any Series Exhibit.</w:t>
      </w:r>
    </w:p>
    <w:p>
      <w:pPr>
        <w:spacing w:after="160"/>
        <w:jc w:val="both"/>
      </w:pPr>
      <w:r>
        <w:rPr>
          <w:rFonts w:ascii="Times New Roman" w:hAnsi="Times New Roman"/>
          <w:b/>
          <w:sz w:val="24"/>
        </w:rPr>
        <w:t>8.2 Asset Association Records.</w:t>
      </w:r>
      <w:r>
        <w:rPr>
          <w:rFonts w:ascii="Times New Roman" w:hAnsi="Times New Roman"/>
          <w:sz w:val="24"/>
        </w:rPr>
        <w:t xml:space="preserve"> The Administrative Member shall create and maintain, for the Company and for each Protected Series, records that state the name of the Company or of the applicable Protected Series and describe each of its assets with sufficient specificity to permit a </w:t>
      </w:r>
      <w:r>
        <w:rPr>
          <w:rFonts w:ascii="Times New Roman" w:hAnsi="Times New Roman"/>
          <w:b/>
          <w:sz w:val="24"/>
        </w:rPr>
        <w:t>disinterested, reasonable individual</w:t>
      </w:r>
      <w:r>
        <w:rPr>
          <w:rFonts w:ascii="Times New Roman" w:hAnsi="Times New Roman"/>
          <w:sz w:val="24"/>
        </w:rPr>
        <w:t xml:space="preserve"> to:</w:t>
      </w:r>
    </w:p>
    <w:p>
      <w:pPr>
        <w:spacing w:after="160"/>
        <w:jc w:val="both"/>
      </w:pPr>
      <w:r>
        <w:rPr>
          <w:rFonts w:ascii="Times New Roman" w:hAnsi="Times New Roman"/>
          <w:sz w:val="24"/>
        </w:rPr>
        <w:t>(a) identify the asset and distinguish it from any other asset of the Company, of that Protected Series, and of every other Protected Series;</w:t>
      </w:r>
    </w:p>
    <w:p>
      <w:pPr>
        <w:spacing w:after="160"/>
        <w:jc w:val="both"/>
      </w:pPr>
      <w:r>
        <w:rPr>
          <w:rFonts w:ascii="Times New Roman" w:hAnsi="Times New Roman"/>
          <w:sz w:val="24"/>
        </w:rPr>
        <w:t>(b) determine when and from which person the asset was acquired, or how the asset otherwise became an asset of the Company or that Protected Series; and</w:t>
      </w:r>
    </w:p>
    <w:p>
      <w:pPr>
        <w:spacing w:after="160"/>
        <w:jc w:val="both"/>
      </w:pPr>
      <w:r>
        <w:rPr>
          <w:rFonts w:ascii="Times New Roman" w:hAnsi="Times New Roman"/>
          <w:sz w:val="24"/>
        </w:rPr>
        <w:t>(c) for any asset acquired from the Company or from another Protected Series, determine the consideration paid, the payor, and the payee.</w:t>
      </w:r>
    </w:p>
    <w:p>
      <w:pPr>
        <w:spacing w:after="160"/>
        <w:jc w:val="both"/>
      </w:pPr>
      <w:r>
        <w:rPr>
          <w:rFonts w:ascii="Times New Roman" w:hAnsi="Times New Roman"/>
          <w:sz w:val="24"/>
        </w:rPr>
        <w:t>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spacing w:after="160"/>
        <w:jc w:val="both"/>
      </w:pPr>
      <w:r>
        <w:rPr>
          <w:rFonts w:ascii="Times New Roman" w:hAnsi="Times New Roman"/>
          <w:b/>
          <w:sz w:val="24"/>
        </w:rPr>
        <w:t>8.3 Separate Accounts; No Commingling.</w:t>
      </w:r>
      <w:r>
        <w:rPr>
          <w:rFonts w:ascii="Times New Roman" w:hAnsi="Times New Roman"/>
          <w:sz w:val="24"/>
        </w:rPr>
        <w:t xml:space="preserve"> The Company and each Protected Series shall maintain its own deposit account or accounts, and its funds shall not be commingled with the funds of any Member, the Company (as to a Protected Series), or any other Protected Series. All income of a Protected Series shall be deposited to its accounts, and its expenses paid from its accounts. Transfers of funds between accounts shall be made only pursuant to a documented Inter-Series Transfer, loan, contribution, or distribution.</w:t>
      </w:r>
    </w:p>
    <w:p>
      <w:pPr>
        <w:spacing w:after="160"/>
        <w:jc w:val="both"/>
      </w:pPr>
      <w:r>
        <w:rPr>
          <w:rFonts w:ascii="Times New Roman" w:hAnsi="Times New Roman"/>
          <w:b/>
          <w:sz w:val="24"/>
        </w:rPr>
        <w:t>8.4 Inter-Series Transfers.</w:t>
      </w:r>
      <w:r>
        <w:rPr>
          <w:rFonts w:ascii="Times New Roman" w:hAnsi="Times New Roman"/>
          <w:sz w:val="24"/>
        </w:rPr>
        <w:t xml:space="preserve"> Any Inter-Series Transfer (as defined in Section 5.4(b)) requires the approvals stated in Section 5.4(b) and shall be documented contemporaneously by a written record stating (a) the asset transferred, (b) the transferor and transferee (the Company or the specific Protected Series), (c) the date, and (d) the consideration paid, the payor, and the payee. Inter-Series Transfers shall be made for fair value unless the transfer is a documented contribution or distribution.</w:t>
      </w:r>
    </w:p>
    <w:p>
      <w:pPr>
        <w:spacing w:after="160"/>
        <w:jc w:val="both"/>
      </w:pPr>
      <w:r>
        <w:rPr>
          <w:rFonts w:ascii="Times New Roman" w:hAnsi="Times New Roman"/>
          <w:b/>
          <w:sz w:val="24"/>
        </w:rPr>
        <w:t>8.5 Real Property.</w:t>
      </w:r>
      <w:r>
        <w:rPr>
          <w:rFonts w:ascii="Times New Roman" w:hAnsi="Times New Roman"/>
          <w:sz w:val="24"/>
        </w:rPr>
        <w:t xml:space="preserve"> Each acquisition or conveyance of an interest in real property by a Protected Series or the Company shall be made by an instrument naming the acquiring or conveying Protected Series (by its full statutory name) or the Company, as applicable, and shall be recorded where required. Properly recorded instruments affecting real property serve as association records as provided in ss. 605.2301(2)(b) and 605.2301(3)(b), Florida Statutes.</w:t>
      </w:r>
    </w:p>
    <w:p>
      <w:pPr>
        <w:spacing w:after="160"/>
        <w:jc w:val="both"/>
      </w:pPr>
      <w:r>
        <w:rPr>
          <w:rFonts w:ascii="Times New Roman" w:hAnsi="Times New Roman"/>
          <w:b/>
          <w:sz w:val="24"/>
        </w:rPr>
        <w:t>8.6 Contracts and Liabilities.</w:t>
      </w:r>
      <w:r>
        <w:rPr>
          <w:rFonts w:ascii="Times New Roman" w:hAnsi="Times New Roman"/>
          <w:sz w:val="24"/>
        </w:rPr>
        <w:t xml:space="preserve"> Each contract, account, loan, or other obligation shall be entered into in the name of, and shall identify, the Company or the specific Protected Series incurring it, and shall be recorded as an Associated Liability of the person incurring it.</w:t>
      </w:r>
    </w:p>
    <w:p>
      <w:pPr>
        <w:spacing w:after="160"/>
        <w:jc w:val="both"/>
      </w:pPr>
      <w:r>
        <w:rPr>
          <w:rFonts w:ascii="Times New Roman" w:hAnsi="Times New Roman"/>
          <w:b/>
          <w:sz w:val="24"/>
        </w:rPr>
        <w:t>8.7 Financial Records; Inspection.</w:t>
      </w:r>
      <w:r>
        <w:rPr>
          <w:rFonts w:ascii="Times New Roman" w:hAnsi="Times New Roman"/>
          <w:sz w:val="24"/>
        </w:rPr>
        <w:t xml:space="preserve"> Separate books of account shall be maintained for the Company and for each Protected Series, showing income, expenses, assets, liabilities, contributions, and distributions of each. Members' inspection rights are as stated in Section 4.11.</w:t>
      </w:r>
    </w:p>
    <w:p>
      <w:pPr>
        <w:spacing w:after="160"/>
        <w:jc w:val="both"/>
      </w:pPr>
      <w:r>
        <w:rPr>
          <w:rFonts w:ascii="Times New Roman" w:hAnsi="Times New Roman"/>
          <w:b/>
          <w:sz w:val="24"/>
        </w:rPr>
        <w:t>8.7A Exclusive Means of Moving Value.</w:t>
      </w:r>
      <w:r>
        <w:rPr>
          <w:rFonts w:ascii="Times New Roman" w:hAnsi="Times New Roman"/>
          <w:sz w:val="24"/>
        </w:rPr>
        <w:t xml:space="preserve"> Value may be moved between the Company and any Protected Series, or between Protected Series, only by an Inter-Series Transfer, a contribution, or a distribution, in each case approved as this Agreement requires and documented under this Article at the time it occurs. No other transfer, allocation, offset, netting, or informal accommodation between the Company and a Protected Series, or between Protected Series, is permitted, and any such act shall be documented and corrected under Section 8.9(d) upon discovery.</w:t>
      </w:r>
    </w:p>
    <w:p>
      <w:pPr>
        <w:spacing w:after="160"/>
        <w:jc w:val="both"/>
      </w:pPr>
      <w:r>
        <w:rPr>
          <w:rFonts w:ascii="Times New Roman" w:hAnsi="Times New Roman"/>
          <w:b/>
          <w:sz w:val="24"/>
        </w:rPr>
        <w:t>8.8 Annual Review.</w:t>
      </w:r>
      <w:r>
        <w:rPr>
          <w:rFonts w:ascii="Times New Roman" w:hAnsi="Times New Roman"/>
          <w:sz w:val="24"/>
        </w:rPr>
        <w:t xml:space="preserve"> At least annually, the Administrative Member shall review the records maintained under this Article for compliance with s. 605.2301, Florida Statutes, and shall correct any deficiency promptly upon discovery. Upon completing the review, the Administrative Member shall sign and retain with the records a short certification stating the date of the review, the period covered, that the records of the Company and of each Protected Series were reviewed, and any deficiency found and the correction made. Each certification shall be retained for so long as the Company exists.</w:t>
      </w:r>
    </w:p>
    <w:p>
      <w:pPr>
        <w:spacing w:after="160"/>
        <w:jc w:val="both"/>
      </w:pPr>
      <w:r>
        <w:rPr>
          <w:rFonts w:ascii="Times New Roman" w:hAnsi="Times New Roman"/>
          <w:b/>
          <w:sz w:val="24"/>
        </w:rPr>
        <w:t>8.9 Standing Association Rules; Savings Provisions.</w:t>
      </w:r>
    </w:p>
    <w:p>
      <w:pPr>
        <w:spacing w:after="160"/>
        <w:jc w:val="both"/>
      </w:pPr>
      <w:r>
        <w:rPr>
          <w:rFonts w:ascii="Times New Roman" w:hAnsi="Times New Roman"/>
          <w:sz w:val="24"/>
        </w:rPr>
        <w:t xml:space="preserve">(a) </w:t>
      </w:r>
      <w:r>
        <w:rPr>
          <w:rFonts w:ascii="Times New Roman" w:hAnsi="Times New Roman"/>
          <w:b/>
          <w:sz w:val="24"/>
        </w:rPr>
        <w:t>Records.</w:t>
      </w:r>
      <w:r>
        <w:rPr>
          <w:rFonts w:ascii="Times New Roman" w:hAnsi="Times New Roman"/>
          <w:sz w:val="24"/>
        </w:rPr>
        <w:t xml:space="preserve"> This Agreement, each Series Exhibit, each asset schedule, and the account, titling, and transaction records maintained under this Article are records within the meaning of s. 605.2301, Florida Statutes, and may be read together, in combination, to satisfy its requirements.</w:t>
      </w:r>
    </w:p>
    <w:p>
      <w:pPr>
        <w:spacing w:after="160"/>
        <w:jc w:val="both"/>
      </w:pPr>
      <w:r>
        <w:rPr>
          <w:rFonts w:ascii="Times New Roman" w:hAnsi="Times New Roman"/>
          <w:sz w:val="24"/>
        </w:rPr>
        <w:t xml:space="preserve">(b) </w:t>
      </w:r>
      <w:r>
        <w:rPr>
          <w:rFonts w:ascii="Times New Roman" w:hAnsi="Times New Roman"/>
          <w:b/>
          <w:sz w:val="24"/>
        </w:rPr>
        <w:t>Standing association rules.</w:t>
      </w:r>
      <w:r>
        <w:rPr>
          <w:rFonts w:ascii="Times New Roman" w:hAnsi="Times New Roman"/>
          <w:sz w:val="24"/>
        </w:rPr>
        <w:t xml:space="preserve">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spacing w:after="160"/>
        <w:jc w:val="both"/>
      </w:pPr>
      <w:r>
        <w:rPr>
          <w:rFonts w:ascii="Times New Roman" w:hAnsi="Times New Roman"/>
          <w:sz w:val="24"/>
        </w:rPr>
        <w:t xml:space="preserve">(c) </w:t>
      </w:r>
      <w:r>
        <w:rPr>
          <w:rFonts w:ascii="Times New Roman" w:hAnsi="Times New Roman"/>
          <w:b/>
          <w:sz w:val="24"/>
        </w:rPr>
        <w:t>Interpretation.</w:t>
      </w:r>
      <w:r>
        <w:rPr>
          <w:rFonts w:ascii="Times New Roman" w:hAnsi="Times New Roman"/>
          <w:sz w:val="24"/>
        </w:rPr>
        <w:t xml:space="preserve"> This Agreement shall be interpreted and applied to give the fullest effect permitted by law to the separateness of the Company and of each Protected Series and to the limitations of liability described in Section 3.3.</w:t>
      </w:r>
    </w:p>
    <w:p>
      <w:pPr>
        <w:spacing w:after="160"/>
        <w:jc w:val="both"/>
      </w:pPr>
      <w:r>
        <w:rPr>
          <w:rFonts w:ascii="Times New Roman" w:hAnsi="Times New Roman"/>
          <w:sz w:val="24"/>
        </w:rPr>
        <w:t xml:space="preserve">(d) </w:t>
      </w:r>
      <w:r>
        <w:rPr>
          <w:rFonts w:ascii="Times New Roman" w:hAnsi="Times New Roman"/>
          <w:b/>
          <w:sz w:val="24"/>
        </w:rPr>
        <w:t>Correction of records.</w:t>
      </w:r>
      <w:r>
        <w:rPr>
          <w:rFonts w:ascii="Times New Roman" w:hAnsi="Times New Roman"/>
          <w:sz w:val="24"/>
        </w:rPr>
        <w:t xml:space="preserve"> The Administrative Member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w:t>
      </w:r>
    </w:p>
    <w:p>
      <w:pPr>
        <w:spacing w:after="160"/>
        <w:jc w:val="both"/>
      </w:pPr>
      <w:r>
        <w:rPr>
          <w:rFonts w:ascii="Times New Roman" w:hAnsi="Times New Roman"/>
          <w:sz w:val="24"/>
        </w:rPr>
        <w:t xml:space="preserve">(e) </w:t>
      </w:r>
      <w:r>
        <w:rPr>
          <w:rFonts w:ascii="Times New Roman" w:hAnsi="Times New Roman"/>
          <w:b/>
          <w:sz w:val="24"/>
        </w:rPr>
        <w:t>Severability in favor of separateness.</w:t>
      </w:r>
      <w:r>
        <w:rPr>
          <w:rFonts w:ascii="Times New Roman" w:hAnsi="Times New Roman"/>
          <w:sz w:val="24"/>
        </w:rPr>
        <w:t xml:space="preserve"> If any provision of this Agreement or of any Series Exhibit would otherwise be construed to impair the separateness of the Company or of any Protected Series or the limitations of liability described in Section 3.3, that provision shall be deemed modified to the minimum extent necessary to preserve them.</w:t>
      </w:r>
    </w:p>
    <w:p>
      <w:pPr>
        <w:pStyle w:val="Heading1"/>
        <w:keepNext/>
        <w:spacing w:before="240"/>
      </w:pPr>
      <w:r>
        <w:rPr>
          <w:rFonts w:ascii="Times New Roman" w:hAnsi="Times New Roman"/>
          <w:b/>
          <w:sz w:val="26"/>
        </w:rPr>
        <w:t>ARTICLE 9 — TAX MATTERS</w:t>
      </w:r>
    </w:p>
    <w:p>
      <w:pPr>
        <w:spacing w:after="160"/>
        <w:jc w:val="both"/>
      </w:pPr>
      <w:r>
        <w:rPr>
          <w:rFonts w:ascii="Times New Roman" w:hAnsi="Times New Roman"/>
          <w:b/>
          <w:sz w:val="24"/>
        </w:rPr>
        <w:t>9.1 Intended Classification.</w:t>
      </w:r>
      <w:r>
        <w:rPr>
          <w:rFonts w:ascii="Times New Roman" w:hAnsi="Times New Roman"/>
          <w:sz w:val="24"/>
        </w:rPr>
        <w:t xml:space="preserve"> It is intended that the Company, and each Protected Series having two or more Associated Members, be classified as a partnership for federal income tax purposes (and that any Protected Series having a single Associated Member be disregarded as an entity separate from that Associated Member), in each case as federal tax law provides as applied to each of them. Nothing in this Agreement constitutes tax advice or a guarantee of any particular tax treatment, and no Member makes any representation regarding the tax consequences of the protected series structure.</w:t>
      </w:r>
    </w:p>
    <w:p>
      <w:pPr>
        <w:spacing w:after="160"/>
        <w:jc w:val="both"/>
      </w:pPr>
      <w:r>
        <w:rPr>
          <w:rFonts w:ascii="Times New Roman" w:hAnsi="Times New Roman"/>
          <w:b/>
          <w:sz w:val="24"/>
        </w:rPr>
        <w:t>9.2 Tax Returns; Information.</w:t>
      </w:r>
      <w:r>
        <w:rPr>
          <w:rFonts w:ascii="Times New Roman" w:hAnsi="Times New Roman"/>
          <w:sz w:val="24"/>
        </w:rPr>
        <w:t xml:space="preserve"> The Administrative Member shall cause to be prepared and filed all tax returns required of the Company and of each Protected Series, and shall deliver to each Member, after the end of each fiscal year, the tax information (including Schedule K-1s, where applicable) necessary for the Member's returns.</w:t>
      </w:r>
    </w:p>
    <w:p>
      <w:pPr>
        <w:spacing w:after="160"/>
        <w:jc w:val="both"/>
      </w:pPr>
      <w:r>
        <w:rPr>
          <w:rFonts w:ascii="Times New Roman" w:hAnsi="Times New Roman"/>
          <w:b/>
          <w:sz w:val="24"/>
        </w:rPr>
        <w:t>9.3 Partnership Representative.</w:t>
      </w:r>
      <w:r>
        <w:rPr>
          <w:rFonts w:ascii="Times New Roman" w:hAnsi="Times New Roman"/>
          <w:sz w:val="24"/>
        </w:rPr>
        <w:t xml:space="preserve"> The Administrative Member (or a person a Majority in Interest designates) shall serve as the "partnership representative" within the meaning of section 6223 of the Code for the Company and for each Protected Series classified as a partnership, with all authority granted to a partnership representative under the Code, including the authority to make or revoke elections (including elections under sections 6221(b) and 6226 of the Code), to conduct and resolve audits and proceedings, and to bind the Members as the Code provides. Each Member shall provide the information, and take the actions, reasonably requested by the partnership representative in connection with any tax matter, and shall pay the Member's share of any imputed underpayment or similar amount attributable to the Member as reasonably determined by the partnership representative.</w:t>
      </w:r>
    </w:p>
    <w:p>
      <w:pPr>
        <w:spacing w:after="160"/>
        <w:jc w:val="both"/>
      </w:pPr>
      <w:r>
        <w:rPr>
          <w:rFonts w:ascii="Times New Roman" w:hAnsi="Times New Roman"/>
          <w:b/>
          <w:sz w:val="24"/>
        </w:rPr>
        <w:t>9.4 Tax Elections.</w:t>
      </w:r>
      <w:r>
        <w:rPr>
          <w:rFonts w:ascii="Times New Roman" w:hAnsi="Times New Roman"/>
          <w:sz w:val="24"/>
        </w:rPr>
        <w:t xml:space="preserve"> A Majority in Interest may make, change, or revoke any tax election for the Company or any Protected Series (including an election under section 754 of the Code) that it determines to be in the best interests of the Members as a whole.</w:t>
      </w:r>
    </w:p>
    <w:p>
      <w:pPr>
        <w:spacing w:after="160"/>
        <w:jc w:val="both"/>
      </w:pPr>
      <w:r>
        <w:rPr>
          <w:rFonts w:ascii="Times New Roman" w:hAnsi="Times New Roman"/>
          <w:b/>
          <w:sz w:val="24"/>
        </w:rPr>
        <w:t>9.5 Fiscal Year.</w:t>
      </w:r>
      <w:r>
        <w:rPr>
          <w:rFonts w:ascii="Times New Roman" w:hAnsi="Times New Roman"/>
          <w:sz w:val="24"/>
        </w:rPr>
        <w:t xml:space="preserve"> The fiscal year of the Company and of each Protected Series is the calendar year unless a Majority in Interest selects another permitted year.</w:t>
      </w:r>
    </w:p>
    <w:p>
      <w:pPr>
        <w:spacing w:after="160"/>
        <w:jc w:val="both"/>
      </w:pPr>
      <w:r>
        <w:rPr>
          <w:rFonts w:ascii="Times New Roman" w:hAnsi="Times New Roman"/>
          <w:b/>
          <w:sz w:val="24"/>
        </w:rPr>
        <w:t>9.6 S Corporation Election.</w:t>
      </w:r>
      <w:r>
        <w:rPr>
          <w:rFonts w:ascii="Times New Roman" w:hAnsi="Times New Roman"/>
          <w:sz w:val="24"/>
        </w:rPr>
        <w:t xml:space="preserve"> The Company (or any Protected Series treated as a separate entity for federal income tax purposes) may elect classification as an association taxable as a corporation and S corporation status only upon the affirmative vote or consent of all Members. Before or promptly upon making any such election, the Members shall amend and restate this Agreement in the Company's S corporation form of operating agreement, under which the Company and every Protected Series must have identical Members with identical percentages and all allocations and distributions are made strictly pro rata. From the effective date of any such election, and whether or not this Agreement has yet been amended and restated, it is the express intent of the Members that the Company qualify at all times as a small business corporation eligible for a valid election under section 1362 of the Code and that the election remain in effect; all allocations and distributions — including distributions in liquidation — shall be made strictly pro rata in accordance with Percentage Interests or Series Percentages, as applicable, notwithstanding any other provision of this Agreement; any provision of this Agreement, of any Series Exhibit, or of any other agreement among the Members that would cause the election to be invalid or to terminate is null and void ab initio and shall be given no force or effect for any purpose; and, to the extent any provision can be conformed rather than voided, this Agreement shall be applied and, to the minimum extent necessary, deemed modified so as to preserve the validity of the election.</w:t>
      </w:r>
    </w:p>
    <w:p>
      <w:pPr>
        <w:pStyle w:val="Heading1"/>
        <w:keepNext/>
        <w:spacing w:before="240"/>
      </w:pPr>
      <w:r>
        <w:rPr>
          <w:rFonts w:ascii="Times New Roman" w:hAnsi="Times New Roman"/>
          <w:b/>
          <w:sz w:val="26"/>
        </w:rPr>
        <w:t>ARTICLE 10 — TRANSFERS; CREDITOR PROVISIONS</w:t>
      </w:r>
    </w:p>
    <w:p>
      <w:pPr>
        <w:spacing w:after="160"/>
        <w:jc w:val="both"/>
      </w:pPr>
      <w:r>
        <w:rPr>
          <w:rFonts w:ascii="Times New Roman" w:hAnsi="Times New Roman"/>
          <w:b/>
          <w:sz w:val="24"/>
        </w:rPr>
        <w:t>10.1 Restriction on Transfer.</w:t>
      </w:r>
      <w:r>
        <w:rPr>
          <w:rFonts w:ascii="Times New Roman" w:hAnsi="Times New Roman"/>
          <w:sz w:val="24"/>
        </w:rPr>
        <w:t xml:space="preserve"> No Member shall Transfer all or any portion of a Membership Interest, or any right to receive distributions from the Company or any Protected Series, except (a) a Transfer to an Immediate Family Member of the transferring Member made in compliance with Section 10.2, (b) a Transfer effective at death pursuant to the transferring Member's TOD designation under Section 4.12, or (c) another Transfer made with the prior written consent of a Majority in Interest of the Members other than the transferring Member. Any purported Transfer in violation of this Article is void to the fullest extent permitted by law, and the transferee acquires no rights other than those, if any, mandated by the Act.</w:t>
      </w:r>
    </w:p>
    <w:p>
      <w:pPr>
        <w:spacing w:after="160"/>
        <w:jc w:val="both"/>
      </w:pPr>
      <w:r>
        <w:rPr>
          <w:rFonts w:ascii="Times New Roman" w:hAnsi="Times New Roman"/>
          <w:b/>
          <w:sz w:val="24"/>
        </w:rPr>
        <w:t>10.2 Permitted Family Transfers.</w:t>
      </w:r>
      <w:r>
        <w:rPr>
          <w:rFonts w:ascii="Times New Roman" w:hAnsi="Times New Roman"/>
          <w:sz w:val="24"/>
        </w:rPr>
        <w:t xml:space="preserve"> A Transfer of all or part of a Membership Interest to an Immediate Family Member of the transferring Member is permitted, provided the transferee delivers to the Company a signed agreement to be bound by this Agreement.</w:t>
      </w:r>
    </w:p>
    <w:p>
      <w:pPr>
        <w:spacing w:after="160"/>
        <w:jc w:val="both"/>
      </w:pPr>
      <w:r>
        <w:rPr>
          <w:rFonts w:ascii="Times New Roman" w:hAnsi="Times New Roman"/>
          <w:b/>
          <w:sz w:val="24"/>
        </w:rPr>
        <w:t>10.3 Rights of Transferees.</w:t>
      </w:r>
      <w:r>
        <w:rPr>
          <w:rFonts w:ascii="Times New Roman" w:hAnsi="Times New Roman"/>
          <w:sz w:val="24"/>
        </w:rPr>
        <w:t xml:space="preserve"> A transferee (including a permitted family transferee) who is not admitted as a Member under Article 12 holds only the transferable interest — the right to receive the distributions that would otherwise be paid to the transferor with respect to the transferred interest — and has no right to vote, to participate in management, to inspect records, or to exercise any other right of a member, except as the Act mandates. A transferred interest remains subject to this Agreement in the hands of every transferee.</w:t>
      </w:r>
    </w:p>
    <w:p>
      <w:pPr>
        <w:spacing w:after="160"/>
        <w:jc w:val="both"/>
      </w:pPr>
      <w:r>
        <w:rPr>
          <w:rFonts w:ascii="Times New Roman" w:hAnsi="Times New Roman"/>
          <w:b/>
          <w:sz w:val="24"/>
        </w:rPr>
        <w:t>10.4 Involuntary Transfers; Option to Acquire.</w:t>
      </w:r>
      <w:r>
        <w:rPr>
          <w:rFonts w:ascii="Times New Roman" w:hAnsi="Times New Roman"/>
          <w:sz w:val="24"/>
        </w:rPr>
        <w:t xml:space="preserve"> Upon any Involuntary Transfer or any event that would result in an Involuntary Transfer of all or part of a Membership Interest, the Company shall have the option, exercisable by a Majority in Interest of the Members other than the affected Member at any time within ninety (90) days after the Company receives written notice that the Involuntary Transfer has occurred, to acquire the interest that is the subject of the Involuntary Transfer at its fair value. Fair value shall be the value agreed in writing between the Company and the holder of the interest or, absent agreement within thirty (30) days after the option is exercised, the value determined by an independent appraiser jointly selected by the Company and the holder within fifteen (15) days after the end of that thirty-day period (and, if they fail to agree within that time, by an appraiser selected by the two appraisers each of them then designates within a further ten (10) days), who shall hold the MAI designation if the assets principally concerned are real property, who shall have no material financial or professional relationship with any Member, and who shall deliver a written determination within forty-five (45) days after selection. That determination is final and binding, and the appraiser's fee shall be borne one-half by the Company and one-half by the holder. The purchase price is payable on commercially reasonable terms determined by a Majority in Interest, including payment in installments over a period of up to five (5) years bearing interest at the applicable federal rate. If the Company does not exercise its option, the Members other than the affected Member may, within thirty (30) days after the Company's option lapses, elect to acquire the interest on the same terms, in proportion to their Percentage Interests or as they otherwise agree. Pending exercise or lapse of the options, the holder of the interest has only the rights of a transferee described in Section 10.3.</w:t>
      </w:r>
    </w:p>
    <w:p>
      <w:pPr>
        <w:spacing w:after="160"/>
        <w:jc w:val="both"/>
      </w:pPr>
      <w:r>
        <w:rPr>
          <w:rFonts w:ascii="Times New Roman" w:hAnsi="Times New Roman"/>
          <w:b/>
          <w:sz w:val="24"/>
        </w:rPr>
        <w:t>10.5 No Dissociation by Transfer Alone.</w:t>
      </w:r>
      <w:r>
        <w:rPr>
          <w:rFonts w:ascii="Times New Roman" w:hAnsi="Times New Roman"/>
          <w:sz w:val="24"/>
        </w:rPr>
        <w:t xml:space="preserve"> A Transfer does not by itself dissociate a Member or dissolve the Company or any Protected Series.</w:t>
      </w:r>
    </w:p>
    <w:p>
      <w:pPr>
        <w:spacing w:after="160"/>
        <w:jc w:val="both"/>
      </w:pPr>
      <w:r>
        <w:rPr>
          <w:rFonts w:ascii="Times New Roman" w:hAnsi="Times New Roman"/>
          <w:b/>
          <w:sz w:val="24"/>
        </w:rPr>
        <w:t>10.6 Charging Order — Exclusive Remedy.</w:t>
      </w:r>
      <w:r>
        <w:rPr>
          <w:rFonts w:ascii="Times New Roman" w:hAnsi="Times New Roman"/>
          <w:sz w:val="24"/>
        </w:rPr>
        <w:t xml:space="preserve"> As provided in ss. 605.0502 and 605.0503, Florida Statutes, a charging order is the sole and exclusive remedy by which a judgment creditor of a Member or of a transferee may satisfy a judgment from the judgment debtor's Membership Interest or transferable interest, whether in the Company or in respect of any Protected Series. A judgment creditor or other holder of a charging order has only the right to receive distributions to which the judgment debtor would otherwise be entitled, has none of the rights of a member or manager, is not entitled to any accounting, inspection, or information rights except as the Act mandates, and, for so long as the Company has more than one member, may not foreclose upon the charged interest. Nothing in this Agreement enlarges any remedy of any creditor beyond those provided by the Act.</w:t>
      </w:r>
    </w:p>
    <w:p>
      <w:pPr>
        <w:pStyle w:val="Heading1"/>
        <w:keepNext/>
        <w:spacing w:before="240"/>
      </w:pPr>
      <w:r>
        <w:rPr>
          <w:rFonts w:ascii="Times New Roman" w:hAnsi="Times New Roman"/>
          <w:b/>
          <w:sz w:val="26"/>
        </w:rPr>
        <w:t>ARTICLE 11 — EXECUTORY CONTRACT</w:t>
      </w:r>
    </w:p>
    <w:p>
      <w:pPr>
        <w:spacing w:after="160"/>
        <w:jc w:val="both"/>
      </w:pPr>
      <w:r>
        <w:rPr>
          <w:rFonts w:ascii="Times New Roman" w:hAnsi="Times New Roman"/>
          <w:b/>
          <w:sz w:val="24"/>
        </w:rPr>
        <w:t>11.1 Executory Contract.</w:t>
      </w:r>
      <w:r>
        <w:rPr>
          <w:rFonts w:ascii="Times New Roman" w:hAnsi="Times New Roman"/>
          <w:sz w:val="24"/>
        </w:rPr>
        <w:t xml:space="preserve"> The parties agree that this Agreement constitutes an executory contract and shall be governed by 11 U.S.C. §365 in connection with the bankruptcy of the Company or any Member because, among other provisions and obligations, this Agreement imposes on each Member the following affirmative duties (each of which constitutes a material unperformed, future obligation): (a) </w:t>
      </w:r>
      <w:r>
        <w:rPr>
          <w:rFonts w:ascii="Times New Roman" w:hAnsi="Times New Roman"/>
          <w:i/>
          <w:sz w:val="24"/>
        </w:rPr>
        <w:t>[include only if optional Section 6.2 is included; otherwise replace with "(a) [Reserved.]"]</w:t>
      </w:r>
      <w:r>
        <w:rPr>
          <w:rFonts w:ascii="Times New Roman" w:hAnsi="Times New Roman"/>
          <w:sz w:val="24"/>
        </w:rPr>
        <w:t xml:space="preserve"> upon approval of a Majority in Interest as provided in Section 6.2, the duty and obligation of each Member to contribute additional capital to the Company or the affected Protected Series; (b) the duty and obligation of each Member to materially participate in the governance of the Company and of each Protected Series with which the Member is associated, as provided in Section 4.6; (c) </w:t>
      </w:r>
      <w:r>
        <w:rPr>
          <w:rFonts w:ascii="Times New Roman" w:hAnsi="Times New Roman"/>
          <w:i/>
          <w:sz w:val="24"/>
        </w:rPr>
        <w:t>[include only if Section 4.7 Alternative A is selected; otherwise replace with "(c) [Reserved.]"]</w:t>
      </w:r>
      <w:r>
        <w:rPr>
          <w:rFonts w:ascii="Times New Roman" w:hAnsi="Times New Roman"/>
          <w:sz w:val="24"/>
        </w:rPr>
        <w:t xml:space="preserve"> the duty and obligation of each Member not to compete with the Company, or with any Protected Series with which the Member is associated, in the conduct of their activities and affairs before the dissolution of the Company, as provided in Section 4.7 and consistent with s. 605.04091(2)(c), Florida Statutes; (d) the duty and obligation of each Member not to disclose confidential information, as provided in Section 4.8; and (e) the duty and obligation of each Member not to hinder, delay, slander, or tarnish the reputation of the Company or of any Protected Series, as provided in Section 4.9. The failure of a Member to perform the duties and obligations set forth herein releases and excuses the mutual duties and obligations owed by the Company and the other Members to such defaulting Member.</w:t>
      </w:r>
    </w:p>
    <w:p>
      <w:pPr>
        <w:spacing w:after="160"/>
        <w:jc w:val="both"/>
      </w:pPr>
      <w:r>
        <w:rPr>
          <w:rFonts w:ascii="Times New Roman" w:hAnsi="Times New Roman"/>
          <w:b/>
          <w:sz w:val="24"/>
        </w:rPr>
        <w:t>11.2 Personal Service Agreement; No Assumption or Assignment.</w:t>
      </w:r>
      <w:r>
        <w:rPr>
          <w:rFonts w:ascii="Times New Roman" w:hAnsi="Times New Roman"/>
          <w:sz w:val="24"/>
        </w:rPr>
        <w:t xml:space="preserve"> In accordance with </w:t>
      </w:r>
      <w:r>
        <w:rPr>
          <w:rFonts w:ascii="Times New Roman" w:hAnsi="Times New Roman"/>
          <w:i/>
          <w:sz w:val="24"/>
        </w:rPr>
        <w:t>In re Soderstrom</w:t>
      </w:r>
      <w:r>
        <w:rPr>
          <w:rFonts w:ascii="Times New Roman" w:hAnsi="Times New Roman"/>
          <w:sz w:val="24"/>
        </w:rPr>
        <w:t>, 484 B.R. 874 (M.D. Fla. 2013), this Agreement is a personal service agreement due to the managerial and governance duties and obligations owed by each Member, and a bankruptcy trustee cannot assume or assign a debtor Member's interest in the Company in accordance with 11 U.S.C. §365(c)(1) without the prior written consent of the other Members.</w:t>
      </w:r>
    </w:p>
    <w:p>
      <w:pPr>
        <w:spacing w:after="160"/>
        <w:jc w:val="both"/>
      </w:pPr>
      <w:r>
        <w:rPr>
          <w:rFonts w:ascii="Times New Roman" w:hAnsi="Times New Roman"/>
          <w:b/>
          <w:sz w:val="24"/>
        </w:rPr>
        <w:t>11.3 Compliance upon Assumption or Rejection.</w:t>
      </w:r>
      <w:r>
        <w:rPr>
          <w:rFonts w:ascii="Times New Roman" w:hAnsi="Times New Roman"/>
          <w:sz w:val="24"/>
        </w:rPr>
        <w:t xml:space="preserve"> Notwithstanding the foregoing, to the extent that a trustee of a Member's bankruptcy is allowed either to assume or reject a debtor Member's interest in the Company governed by this Agreement, such action shall comply with the time period set forth in 11 U.S.C. §365(d), and if the trustee assumes such debtor Member's interest, such trustee shall comply with the terms of this Agreement and Florida law governing this Agreement, including, without limitation, the restrictions of the rights of a creditor of a Member or transferee pursuant to ss. 605.0502 and 605.0503, Florida Statutes.</w:t>
      </w:r>
    </w:p>
    <w:p>
      <w:pPr>
        <w:pStyle w:val="Heading1"/>
        <w:keepNext/>
        <w:spacing w:before="240"/>
      </w:pPr>
      <w:r>
        <w:rPr>
          <w:rFonts w:ascii="Times New Roman" w:hAnsi="Times New Roman"/>
          <w:b/>
          <w:sz w:val="26"/>
        </w:rPr>
        <w:t>ARTICLE 12 — ADMISSION OF MEMBERS; ASSOCIATION WITH PROTECTED SERIES</w:t>
      </w:r>
    </w:p>
    <w:p>
      <w:pPr>
        <w:spacing w:after="160"/>
        <w:jc w:val="both"/>
      </w:pPr>
      <w:r>
        <w:rPr>
          <w:rFonts w:ascii="Times New Roman" w:hAnsi="Times New Roman"/>
          <w:b/>
          <w:sz w:val="24"/>
        </w:rPr>
        <w:t>12.1 Admission of Members.</w:t>
      </w:r>
      <w:r>
        <w:rPr>
          <w:rFonts w:ascii="Times New Roman" w:hAnsi="Times New Roman"/>
          <w:sz w:val="24"/>
        </w:rPr>
        <w:t xml:space="preserve"> A person may be admitted as a Member of the Company only with the written consent of </w:t>
      </w:r>
      <w:r>
        <w:rPr>
          <w:rFonts w:ascii="Times New Roman" w:hAnsi="Times New Roman"/>
          <w:b/>
          <w:sz w:val="24"/>
        </w:rPr>
        <w:t>all</w:t>
      </w:r>
      <w:r>
        <w:rPr>
          <w:rFonts w:ascii="Times New Roman" w:hAnsi="Times New Roman"/>
          <w:sz w:val="24"/>
        </w:rPr>
        <w:t xml:space="preserve"> Members and upon the person's delivery of a signed agreement to be bound by this Agreement, except that (a) a TOD beneficiary is admitted as provided in Section 4.12, and (b) a permitted family transferee under Section 10.2 may be admitted with the written consent of a Majority in Interest of the Members other than the transferor.</w:t>
      </w:r>
    </w:p>
    <w:p>
      <w:pPr>
        <w:spacing w:after="160"/>
        <w:jc w:val="both"/>
      </w:pPr>
      <w:r>
        <w:rPr>
          <w:rFonts w:ascii="Times New Roman" w:hAnsi="Times New Roman"/>
          <w:b/>
          <w:sz w:val="24"/>
        </w:rPr>
        <w:t>12.2 Association with a Protected Series.</w:t>
      </w:r>
      <w:r>
        <w:rPr>
          <w:rFonts w:ascii="Times New Roman" w:hAnsi="Times New Roman"/>
          <w:sz w:val="24"/>
        </w:rPr>
        <w:t xml:space="preserve"> A Member may be associated with a Protected Series, and Series Percentages may be established or adjusted, only by an amendment to the applicable Series Exhibit adopted with the written consent of the Member to be associated and all Associated Members of that Protected Series.</w:t>
      </w:r>
    </w:p>
    <w:p>
      <w:pPr>
        <w:spacing w:after="160"/>
        <w:jc w:val="both"/>
      </w:pPr>
      <w:r>
        <w:rPr>
          <w:rFonts w:ascii="Times New Roman" w:hAnsi="Times New Roman"/>
          <w:b/>
          <w:sz w:val="24"/>
        </w:rPr>
        <w:t>12.3 Continuation on Termination of Last Member.</w:t>
      </w:r>
      <w:r>
        <w:rPr>
          <w:rFonts w:ascii="Times New Roman" w:hAnsi="Times New Roman"/>
          <w:sz w:val="24"/>
        </w:rPr>
        <w:t xml:space="preserve"> Upon the termination of the membership of the last remaining member of the Company,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pStyle w:val="Heading1"/>
        <w:keepNext/>
        <w:spacing w:before="240"/>
      </w:pPr>
      <w:r>
        <w:rPr>
          <w:rFonts w:ascii="Times New Roman" w:hAnsi="Times New Roman"/>
          <w:b/>
          <w:sz w:val="26"/>
        </w:rPr>
        <w:t>ARTICLE 13 — WITHDRAWAL; DEADLOCK</w:t>
      </w:r>
    </w:p>
    <w:p>
      <w:pPr>
        <w:spacing w:after="160"/>
        <w:jc w:val="both"/>
      </w:pPr>
      <w:r>
        <w:rPr>
          <w:rFonts w:ascii="Times New Roman" w:hAnsi="Times New Roman"/>
          <w:b/>
          <w:sz w:val="24"/>
        </w:rPr>
        <w:t>13.1 No Voluntary Withdrawal.</w:t>
      </w:r>
      <w:r>
        <w:rPr>
          <w:rFonts w:ascii="Times New Roman" w:hAnsi="Times New Roman"/>
          <w:sz w:val="24"/>
        </w:rPr>
        <w:t xml:space="preserve"> No Member may voluntarily withdraw, resign, or dissociate from the Company before the dissolution and winding up of the Company without the written consent of all other Members. A Member's dissociation, whether or not wrongful, does not entitle the dissociated Member to any distribution or payment for the Member's interest except as this Agreement or the Act provides, and a dissociated Member (or the Member's successor) holds thereafter only the rights of a transferee described in Section 10.3.</w:t>
      </w:r>
    </w:p>
    <w:p>
      <w:pPr>
        <w:spacing w:after="160"/>
        <w:jc w:val="both"/>
      </w:pPr>
      <w:r>
        <w:rPr>
          <w:rFonts w:ascii="Times New Roman" w:hAnsi="Times New Roman"/>
          <w:b/>
          <w:sz w:val="24"/>
        </w:rPr>
        <w:t>13.2 Deadlock; Buy-Sell Election. [OPTIONAL PROVISION — see Instructions; to omit, replace the text of this Section with "[Reserved.]" — do not renumber]</w:t>
      </w:r>
    </w:p>
    <w:p>
      <w:pPr>
        <w:spacing w:after="160"/>
        <w:jc w:val="both"/>
      </w:pPr>
      <w:r>
        <w:rPr>
          <w:rFonts w:ascii="Times New Roman" w:hAnsi="Times New Roman"/>
          <w:sz w:val="24"/>
        </w:rPr>
        <w:t>(a) A "Deadlock" exists if the Members (or, as to a matter concerning a Protected Series, its Associated Members) are unable, by the vote required under this Agreement, to approve or reject a matter duly submitted for approval, and the inability continues for sixty (60) days after any Member delivers written notice to the Company and the other Members describing the matter and stating that a Deadlock exists.</w:t>
      </w:r>
    </w:p>
    <w:p>
      <w:pPr>
        <w:spacing w:after="160"/>
        <w:jc w:val="both"/>
      </w:pPr>
      <w:r>
        <w:rPr>
          <w:rFonts w:ascii="Times New Roman" w:hAnsi="Times New Roman"/>
          <w:sz w:val="24"/>
        </w:rPr>
        <w:t>(b) During a Deadlock, any Member holding twenty-five percent (25%) or more of the Percentage Interests (the "Offeror") may deliver to the other Members (the "Offerees") a written offer (the "Buy-Sell Offer") stating a single gross valuation for the Company and all Protected Series, in cash. The Buy-Sell Offer constitutes both (i) an offer by the Offeror to purchase all of the Offerees' Membership Interests at their proportionate share of that valuation, and (ii) an offer by the Offeror to sell all of the Offeror's Membership Interest to the Offerees at the Offeror's proportionate share of that valuation.</w:t>
      </w:r>
    </w:p>
    <w:p>
      <w:pPr>
        <w:spacing w:after="160"/>
        <w:jc w:val="both"/>
      </w:pPr>
      <w:r>
        <w:rPr>
          <w:rFonts w:ascii="Times New Roman" w:hAnsi="Times New Roman"/>
          <w:sz w:val="24"/>
        </w:rPr>
        <w:t>(c) Within forty-five (45) days after delivery of the Buy-Sell Offer, the Offerees (acting jointly, or severally in proportion to their Percentage Interests among those electing) shall elect in writing either to sell their Membership Interests to the Offeror, or to purchase the Offeror's Membership Interest, in each case at the price determined under the Buy-Sell Offer. Failure to deliver a timely election is an election to sell.</w:t>
      </w:r>
    </w:p>
    <w:p>
      <w:pPr>
        <w:spacing w:after="160"/>
        <w:jc w:val="both"/>
      </w:pPr>
      <w:r>
        <w:rPr>
          <w:rFonts w:ascii="Times New Roman" w:hAnsi="Times New Roman"/>
          <w:sz w:val="24"/>
        </w:rPr>
        <w:t>(d) The closing shall occur within sixty (60) days after the election, for cash unless the parties agree otherwise. At closing, the selling Members shall Transfer their Membership Interests free of liens, and the purchasing Member(s) shall be substituted with respect to the transferred interests, including all associated Series Percentages. If the purchasing party fails to close, the other party may elect to purchase on the same terms, and the defaulting party bears the costs of the failed closing.</w:t>
      </w:r>
    </w:p>
    <w:p>
      <w:pPr>
        <w:spacing w:after="160"/>
        <w:jc w:val="both"/>
      </w:pPr>
      <w:r>
        <w:rPr>
          <w:rFonts w:ascii="Times New Roman" w:hAnsi="Times New Roman"/>
          <w:sz w:val="24"/>
        </w:rPr>
        <w:t>(e) This Section does not apply to any matter for which the Act or this Agreement requires the consent of all Members and a Member's withholding of consent is expressly permitted by the Act, and does not limit any Member's right to seek judicial dissolution as provided by the Act.</w:t>
      </w:r>
    </w:p>
    <w:p>
      <w:pPr>
        <w:pStyle w:val="Heading1"/>
        <w:keepNext/>
        <w:spacing w:before="240"/>
      </w:pPr>
      <w:r>
        <w:rPr>
          <w:rFonts w:ascii="Times New Roman" w:hAnsi="Times New Roman"/>
          <w:b/>
          <w:sz w:val="26"/>
        </w:rPr>
        <w:t>ARTICLE 14 — DISSOLUTION AND WINDING UP</w:t>
      </w:r>
    </w:p>
    <w:p>
      <w:pPr>
        <w:spacing w:after="160"/>
        <w:jc w:val="both"/>
      </w:pPr>
      <w:r>
        <w:rPr>
          <w:rFonts w:ascii="Times New Roman" w:hAnsi="Times New Roman"/>
          <w:b/>
          <w:sz w:val="24"/>
        </w:rPr>
        <w:t>14.1 Dissolution of a Protected Series.</w:t>
      </w:r>
      <w:r>
        <w:rPr>
          <w:rFonts w:ascii="Times New Roman" w:hAnsi="Times New Roman"/>
          <w:sz w:val="24"/>
        </w:rPr>
        <w:t xml:space="preserve"> A Protected Series is dissolved, and its activities and affairs shall be wound up, upon the first to occur of: (a) the dissolution of the Company; (b) an event or circumstance specified in its Series Exhibit; (c) the affirmative vote or consent of </w:t>
      </w:r>
      <w:r>
        <w:rPr>
          <w:rFonts w:ascii="Times New Roman" w:hAnsi="Times New Roman"/>
          <w:b/>
          <w:sz w:val="24"/>
        </w:rPr>
        <w:t>all</w:t>
      </w:r>
      <w:r>
        <w:rPr>
          <w:rFonts w:ascii="Times New Roman" w:hAnsi="Times New Roman"/>
          <w:sz w:val="24"/>
        </w:rPr>
        <w:t xml:space="preserve"> Associated Members of that Protected Series (or, if the Company is the deemed sole Associated Member, the consent of a Majority in Interest); or (d) entry of a judicial order dissolving the Protected Series as provided by the Act.</w:t>
      </w:r>
    </w:p>
    <w:p>
      <w:pPr>
        <w:spacing w:after="160"/>
        <w:jc w:val="both"/>
      </w:pPr>
      <w:r>
        <w:rPr>
          <w:rFonts w:ascii="Times New Roman" w:hAnsi="Times New Roman"/>
          <w:b/>
          <w:sz w:val="24"/>
        </w:rPr>
        <w:t>14.2 Winding Up a Protected Series.</w:t>
      </w:r>
      <w:r>
        <w:rPr>
          <w:rFonts w:ascii="Times New Roman" w:hAnsi="Times New Roman"/>
          <w:sz w:val="24"/>
        </w:rPr>
        <w:t xml:space="preserve"> Upon dissolution of a Protected Series, a Majority in Interest of its Associated Members (or a person they designate) shall wind up its activities and affairs in the manner provided by the Act for winding up a limited liability company, applied to that Protected Series. Its Associated Assets shall be applied: first, to pay or provide for its Associated Liabilities to creditors other than Members; next, to pay or provide for its Associated Liabilities to Members as creditors, to the extent permitted by law; next, to its Associated Members to the extent of their capital sub-account balances for that Protected Series; and finally, the balance to its Associated Members in proportion to their Series Percentages (or, if the Company is the deemed sole Associated Member, to the Company). The Administrative Member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spacing w:after="160"/>
        <w:jc w:val="both"/>
      </w:pPr>
      <w:r>
        <w:rPr>
          <w:rFonts w:ascii="Times New Roman" w:hAnsi="Times New Roman"/>
          <w:b/>
          <w:sz w:val="24"/>
        </w:rPr>
        <w:t>14.3 Dissolution of the Company.</w:t>
      </w:r>
      <w:r>
        <w:rPr>
          <w:rFonts w:ascii="Times New Roman" w:hAnsi="Times New Roman"/>
          <w:sz w:val="24"/>
        </w:rPr>
        <w:t xml:space="preserve"> The Company is dissolved, and its activities and affairs shall be wound up, upon the first to occur of: (a) the written consent of </w:t>
      </w:r>
      <w:r>
        <w:rPr>
          <w:rFonts w:ascii="Times New Roman" w:hAnsi="Times New Roman"/>
          <w:b/>
          <w:sz w:val="24"/>
        </w:rPr>
        <w:t>all</w:t>
      </w:r>
      <w:r>
        <w:rPr>
          <w:rFonts w:ascii="Times New Roman" w:hAnsi="Times New Roman"/>
          <w:sz w:val="24"/>
        </w:rPr>
        <w:t xml:space="preserve"> Members; (b) entry of a decree of judicial dissolution under the Act; or (c) any other event that under the Act requires dissolution. The death, incapacity, bankruptcy, dissociation, or withdrawal of a Member does not by itself dissolve the Company. Dissolution of the Company causes the dissolution of each Protected Series, and the winding up of the Company is not complete until the winding up of each Protected Series is complete.</w:t>
      </w:r>
    </w:p>
    <w:p>
      <w:pPr>
        <w:spacing w:after="160"/>
        <w:jc w:val="both"/>
      </w:pPr>
      <w:r>
        <w:rPr>
          <w:rFonts w:ascii="Times New Roman" w:hAnsi="Times New Roman"/>
          <w:b/>
          <w:sz w:val="24"/>
        </w:rPr>
        <w:t>14.4 Winding Up the Company.</w:t>
      </w:r>
      <w:r>
        <w:rPr>
          <w:rFonts w:ascii="Times New Roman" w:hAnsi="Times New Roman"/>
          <w:sz w:val="24"/>
        </w:rPr>
        <w:t xml:space="preserve"> Upon dissolution of the Company, a person designated by a Majority in Interest shall wind up the Company and each Protected Series. After the winding up of each Protected Series under Section 14.2, the remaining Associated Assets of the Company shall be applied: first, to pay or provide for the Company's Associated Liabilities to creditors other than Members; next, to pay or provide for the Company's Associated Liabilities to Members as creditors; next, to the Members to the extent of their capital sub-account balances for the Company; and finally, the balance to the Members in proportion to their Percentage Interests. Articles of dissolution shall be filed as the Act requires, and the Company shall terminate when winding up is complete.</w:t>
      </w:r>
    </w:p>
    <w:p>
      <w:pPr>
        <w:spacing w:after="160"/>
        <w:jc w:val="both"/>
      </w:pPr>
      <w:r>
        <w:rPr>
          <w:rFonts w:ascii="Times New Roman" w:hAnsi="Times New Roman"/>
          <w:b/>
          <w:sz w:val="24"/>
        </w:rPr>
        <w:t>14.5 No Deficit Obligation; Recourse Limited.</w:t>
      </w:r>
      <w:r>
        <w:rPr>
          <w:rFonts w:ascii="Times New Roman" w:hAnsi="Times New Roman"/>
          <w:sz w:val="24"/>
        </w:rPr>
        <w:t xml:space="preserve"> No Member shall have any obligation to restore any deficit or to contribute capital in connection with any winding up (beyond unpaid contributions duly required under Sections 6.1 and 6.2), and each creditor of the Company or of any Protected Series shall look solely to the Associated Assets of its obligor.</w:t>
      </w:r>
    </w:p>
    <w:p>
      <w:pPr>
        <w:pStyle w:val="Heading1"/>
        <w:keepNext/>
        <w:spacing w:before="240"/>
      </w:pPr>
      <w:r>
        <w:rPr>
          <w:rFonts w:ascii="Times New Roman" w:hAnsi="Times New Roman"/>
          <w:b/>
          <w:sz w:val="26"/>
        </w:rPr>
        <w:t>ARTICLE 15 — AMENDMENTS; CONSENTS</w:t>
      </w:r>
    </w:p>
    <w:p>
      <w:pPr>
        <w:spacing w:after="160"/>
        <w:jc w:val="both"/>
      </w:pPr>
      <w:r>
        <w:rPr>
          <w:rFonts w:ascii="Times New Roman" w:hAnsi="Times New Roman"/>
          <w:b/>
          <w:sz w:val="24"/>
        </w:rPr>
        <w:t>15.1 Amendments.</w:t>
      </w:r>
      <w:r>
        <w:rPr>
          <w:rFonts w:ascii="Times New Roman" w:hAnsi="Times New Roman"/>
          <w:sz w:val="24"/>
        </w:rPr>
        <w:t xml:space="preserve"> This Agreement may be amended only by a written instrument signed by </w:t>
      </w:r>
      <w:r>
        <w:rPr>
          <w:rFonts w:ascii="Times New Roman" w:hAnsi="Times New Roman"/>
          <w:b/>
          <w:sz w:val="24"/>
        </w:rPr>
        <w:t>all</w:t>
      </w:r>
      <w:r>
        <w:rPr>
          <w:rFonts w:ascii="Times New Roman" w:hAnsi="Times New Roman"/>
          <w:sz w:val="24"/>
        </w:rPr>
        <w:t xml:space="preserve"> Members; provided, that (a) a Series Exhibit may be amended by a written instrument signed by all Associated Members of the affected Protected Series (and, if the amendment would alter the rights or obligations of a Member not associated with that Protected Series, by that Member); (b) the Administrative Member may amend Exhibit A and the Series Exhibits without further consent solely to record changes duly made under this Agreement (admissions, Transfers, TOD designations, capital adjustments under Section 6.3); and (c) no amendment may impose new obligations on any Member without that Member's written consent. Oral, implied, or course-of-dealing amendments are of no effect.</w:t>
      </w:r>
    </w:p>
    <w:p>
      <w:pPr>
        <w:spacing w:after="160"/>
        <w:jc w:val="both"/>
      </w:pPr>
      <w:r>
        <w:rPr>
          <w:rFonts w:ascii="Times New Roman" w:hAnsi="Times New Roman"/>
          <w:b/>
          <w:sz w:val="24"/>
        </w:rPr>
        <w:t>15.2 Action by Written Consent.</w:t>
      </w:r>
      <w:r>
        <w:rPr>
          <w:rFonts w:ascii="Times New Roman" w:hAnsi="Times New Roman"/>
          <w:sz w:val="24"/>
        </w:rPr>
        <w:t xml:space="preserve"> Any action of the Members under this Agreement may be taken by written consent as provided in Section 4.4.</w:t>
      </w:r>
    </w:p>
    <w:p>
      <w:pPr>
        <w:pStyle w:val="Heading1"/>
        <w:keepNext/>
        <w:spacing w:before="240"/>
      </w:pPr>
      <w:r>
        <w:rPr>
          <w:rFonts w:ascii="Times New Roman" w:hAnsi="Times New Roman"/>
          <w:b/>
          <w:sz w:val="26"/>
        </w:rPr>
        <w:t>ARTICLE 16 — MISCELLANEOUS</w:t>
      </w:r>
    </w:p>
    <w:p>
      <w:pPr>
        <w:spacing w:after="160"/>
        <w:jc w:val="both"/>
      </w:pPr>
      <w:r>
        <w:rPr>
          <w:rFonts w:ascii="Times New Roman" w:hAnsi="Times New Roman"/>
          <w:b/>
          <w:sz w:val="24"/>
        </w:rPr>
        <w:t>16.1 Governing Law; Internal Affairs.</w:t>
      </w:r>
      <w:r>
        <w:rPr>
          <w:rFonts w:ascii="Times New Roman" w:hAnsi="Times New Roman"/>
          <w:sz w:val="24"/>
        </w:rPr>
        <w:t xml:space="preserve"> This Agreement, the internal affairs of the Company and of each Protected Series, and the relations among the Members, the Company, and each Protected Series, are governed by the laws of the State of Florida, without regard to conflict-of-laws principles.</w:t>
      </w:r>
    </w:p>
    <w:p>
      <w:pPr>
        <w:spacing w:after="160"/>
        <w:jc w:val="both"/>
      </w:pPr>
      <w:r>
        <w:rPr>
          <w:rFonts w:ascii="Times New Roman" w:hAnsi="Times New Roman"/>
          <w:b/>
          <w:sz w:val="24"/>
        </w:rPr>
        <w:t>16.2 Venue.</w:t>
      </w:r>
      <w:r>
        <w:rPr>
          <w:rFonts w:ascii="Times New Roman" w:hAnsi="Times New Roman"/>
          <w:sz w:val="24"/>
        </w:rPr>
        <w:t xml:space="preserv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spacing w:after="160"/>
        <w:jc w:val="both"/>
      </w:pPr>
      <w:r>
        <w:rPr>
          <w:rFonts w:ascii="Times New Roman" w:hAnsi="Times New Roman"/>
          <w:b/>
          <w:sz w:val="24"/>
        </w:rPr>
        <w:t>16.3 Severability.</w:t>
      </w:r>
      <w:r>
        <w:rPr>
          <w:rFonts w:ascii="Times New Roman" w:hAnsi="Times New Roman"/>
          <w:sz w:val="24"/>
        </w:rPr>
        <w:t xml:space="preserve">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spacing w:after="160"/>
        <w:jc w:val="both"/>
      </w:pPr>
      <w:r>
        <w:rPr>
          <w:rFonts w:ascii="Times New Roman" w:hAnsi="Times New Roman"/>
          <w:b/>
          <w:sz w:val="24"/>
        </w:rPr>
        <w:t>16.4 Entire Agreement.</w:t>
      </w:r>
      <w:r>
        <w:rPr>
          <w:rFonts w:ascii="Times New Roman" w:hAnsi="Times New Roman"/>
          <w:sz w:val="24"/>
        </w:rPr>
        <w:t xml:space="preserve"> This Agreement, including Exhibit A and each Series Exhibit, constitutes the entire agreement governing the Company and each Protected Series and supersedes all prior agreements and understandings with respect to their subject matter.</w:t>
      </w:r>
    </w:p>
    <w:p>
      <w:pPr>
        <w:spacing w:after="160"/>
        <w:jc w:val="both"/>
      </w:pPr>
      <w:r>
        <w:rPr>
          <w:rFonts w:ascii="Times New Roman" w:hAnsi="Times New Roman"/>
          <w:b/>
          <w:sz w:val="24"/>
        </w:rPr>
        <w:t>16.5 Binding Effect.</w:t>
      </w:r>
      <w:r>
        <w:rPr>
          <w:rFonts w:ascii="Times New Roman" w:hAnsi="Times New Roman"/>
          <w:sz w:val="24"/>
        </w:rPr>
        <w:t xml:space="preserve"> This Agreement binds and benefits the Members and their respective heirs, personal representatives, successors, and permitted assigns, and any person who acquires an interest in the Company or is admitted as a member.</w:t>
      </w:r>
    </w:p>
    <w:p>
      <w:pPr>
        <w:spacing w:after="160"/>
        <w:jc w:val="both"/>
      </w:pPr>
      <w:r>
        <w:rPr>
          <w:rFonts w:ascii="Times New Roman" w:hAnsi="Times New Roman"/>
          <w:b/>
          <w:sz w:val="24"/>
        </w:rPr>
        <w:t>16.6 Counterparts; Electronic Signatures.</w:t>
      </w:r>
      <w:r>
        <w:rPr>
          <w:rFonts w:ascii="Times New Roman" w:hAnsi="Times New Roman"/>
          <w:sz w:val="24"/>
        </w:rPr>
        <w:t xml:space="preserve"> This Agreement may be executed in counterparts, each of which is an original and all of which together constitute one instrument. Electronic signatures and electronic records have the same effect as originals.</w:t>
      </w:r>
    </w:p>
    <w:p>
      <w:pPr>
        <w:spacing w:after="160"/>
        <w:jc w:val="both"/>
      </w:pPr>
      <w:r>
        <w:rPr>
          <w:rFonts w:ascii="Times New Roman" w:hAnsi="Times New Roman"/>
          <w:b/>
          <w:sz w:val="24"/>
        </w:rPr>
        <w:t>16.7 Notices.</w:t>
      </w:r>
      <w:r>
        <w:rPr>
          <w:rFonts w:ascii="Times New Roman" w:hAnsi="Times New Roman"/>
          <w:sz w:val="24"/>
        </w:rPr>
        <w:t xml:space="preserve">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spacing w:after="160"/>
        <w:jc w:val="both"/>
      </w:pPr>
      <w:r>
        <w:rPr>
          <w:rFonts w:ascii="Times New Roman" w:hAnsi="Times New Roman"/>
          <w:b/>
          <w:sz w:val="24"/>
        </w:rPr>
        <w:t>16.8 No Third-Party Beneficiaries.</w:t>
      </w:r>
      <w:r>
        <w:rPr>
          <w:rFonts w:ascii="Times New Roman" w:hAnsi="Times New Roman"/>
          <w:sz w:val="24"/>
        </w:rPr>
        <w:t xml:space="preserve"> This Agreement is for the exclusive benefit of the parties and confers no rights on any creditor or other third party.</w:t>
      </w:r>
    </w:p>
    <w:p>
      <w:pPr>
        <w:spacing w:after="160"/>
        <w:jc w:val="both"/>
      </w:pPr>
      <w:r>
        <w:rPr>
          <w:rFonts w:ascii="Times New Roman" w:hAnsi="Times New Roman"/>
          <w:b/>
          <w:sz w:val="24"/>
        </w:rPr>
        <w:t>16.9 Interpretation.</w:t>
      </w:r>
      <w:r>
        <w:rPr>
          <w:rFonts w:ascii="Times New Roman" w:hAnsi="Times New Roman"/>
          <w:sz w:val="24"/>
        </w:rPr>
        <w:t xml:space="preserve"> Headings are for convenience only. "Including" means "including without limitation." References to statutes include amendments and successor provisions.</w:t>
      </w:r>
    </w:p>
    <w:p>
      <w:pPr>
        <w:spacing w:after="160"/>
        <w:jc w:val="both"/>
      </w:pPr>
      <w:r>
        <w:rPr>
          <w:rFonts w:ascii="Times New Roman" w:hAnsi="Times New Roman"/>
          <w:b/>
          <w:sz w:val="24"/>
        </w:rPr>
        <w:t>16.10 Unregistered Interests.</w:t>
      </w:r>
      <w:r>
        <w:rPr>
          <w:rFonts w:ascii="Times New Roman" w:hAnsi="Times New Roman"/>
          <w:sz w:val="24"/>
        </w:rPr>
        <w:t xml:space="preserve"> The Membership Interests have not been registered under federal or state securities laws and may not be offered, sold, or transferred except in compliance with this Agreement and applicable law.</w:t>
      </w:r>
    </w:p>
    <w:p>
      <w:pPr>
        <w:pStyle w:val="Heading1"/>
        <w:keepNext/>
        <w:spacing w:before="240"/>
      </w:pPr>
      <w:r>
        <w:rPr>
          <w:rFonts w:ascii="Times New Roman" w:hAnsi="Times New Roman"/>
          <w:b/>
          <w:sz w:val="26"/>
        </w:rPr>
        <w:t>SIGNATURES</w:t>
      </w:r>
    </w:p>
    <w:p>
      <w:pPr>
        <w:spacing w:after="160"/>
        <w:jc w:val="both"/>
      </w:pPr>
      <w:r>
        <w:rPr>
          <w:rFonts w:ascii="Times New Roman" w:hAnsi="Times New Roman"/>
          <w:sz w:val="24"/>
        </w:rPr>
        <w:t>IN WITNESS WHEREOF, the undersigned have executed this Agreement effective as of the Effective Date.</w:t>
      </w:r>
    </w:p>
    <w:p>
      <w:pPr>
        <w:spacing w:after="160"/>
        <w:jc w:val="both"/>
      </w:pPr>
      <w:r>
        <w:rPr>
          <w:rFonts w:ascii="Times New Roman" w:hAnsi="Times New Roman"/>
          <w:b/>
          <w:sz w:val="24"/>
        </w:rPr>
        <w:t>MEMBERS:</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[MEMBER 1 NAME]</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[MEMBER 2 NAME]</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[MEMBER 3 NAME, if any]</w:t>
      </w:r>
    </w:p>
    <w:p>
      <w:pPr>
        <w:pStyle w:val="Heading1"/>
        <w:keepNext/>
        <w:spacing w:before="240"/>
      </w:pPr>
      <w:r>
        <w:rPr>
          <w:rFonts w:ascii="Times New Roman" w:hAnsi="Times New Roman"/>
          <w:b/>
          <w:sz w:val="26"/>
        </w:rPr>
        <w:t>EXHIBIT A — MEMBERS; PERCENTAGE INTERESTS; CONTRIBUTIONS; TOD DESIGNATIONS</w:t>
      </w:r>
    </w:p>
    <w:p>
      <w:pPr>
        <w:spacing w:after="160"/>
        <w:jc w:val="both"/>
      </w:pPr>
      <w:r>
        <w:rPr>
          <w:rFonts w:ascii="Times New Roman" w:hAnsi="Times New Roman"/>
          <w:b/>
          <w:sz w:val="24"/>
        </w:rPr>
        <w:t>Company:</w:t>
      </w:r>
      <w:r>
        <w:rPr>
          <w:rFonts w:ascii="Times New Roman" w:hAnsi="Times New Roman"/>
          <w:sz w:val="24"/>
        </w:rPr>
        <w:t xml:space="preserve"> [COMPANY NAME], LLC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2"/>
              </w:rPr>
              <w:t>Member name</w:t>
            </w:r>
          </w:p>
        </w:tc>
        <w:tc>
          <w:tcPr>
            <w:tcW w:type="dxa" w:w="1872"/>
          </w:tcPr>
          <w:p>
            <w:r>
              <w:rPr>
                <w:rFonts w:ascii="Times New Roman" w:hAnsi="Times New Roman"/>
                <w:b/>
                <w:sz w:val="22"/>
              </w:rPr>
              <w:t>Address</w:t>
            </w:r>
          </w:p>
        </w:tc>
        <w:tc>
          <w:tcPr>
            <w:tcW w:type="dxa" w:w="1872"/>
          </w:tcPr>
          <w:p>
            <w:r>
              <w:rPr>
                <w:rFonts w:ascii="Times New Roman" w:hAnsi="Times New Roman"/>
                <w:b/>
                <w:sz w:val="22"/>
              </w:rPr>
              <w:t>Percentage Interest</w:t>
            </w:r>
          </w:p>
        </w:tc>
        <w:tc>
          <w:tcPr>
            <w:tcW w:type="dxa" w:w="1872"/>
          </w:tcPr>
          <w:p>
            <w:r>
              <w:rPr>
                <w:rFonts w:ascii="Times New Roman" w:hAnsi="Times New Roman"/>
                <w:b/>
                <w:sz w:val="22"/>
              </w:rPr>
              <w:t>Initial contribution to the Company</w:t>
            </w:r>
          </w:p>
        </w:tc>
        <w:tc>
          <w:tcPr>
            <w:tcW w:type="dxa" w:w="1872"/>
          </w:tcPr>
          <w:p>
            <w:r>
              <w:rPr>
                <w:rFonts w:ascii="Times New Roman" w:hAnsi="Times New Roman"/>
                <w:b/>
                <w:sz w:val="22"/>
              </w:rPr>
              <w:t>Date</w:t>
            </w:r>
          </w:p>
        </w:tc>
      </w:tr>
      <w:tr>
        <w:tc>
          <w:tcPr>
            <w:tcW w:type="dxa" w:w="1872"/>
          </w:tcPr>
          <w:p>
            <w:r>
              <w:rPr>
                <w:rFonts w:ascii="Times New Roman" w:hAnsi="Times New Roman"/>
                <w:sz w:val="22"/>
              </w:rPr>
              <w:t>[MEMBER 1]</w:t>
            </w:r>
          </w:p>
        </w:tc>
        <w:tc>
          <w:tcPr>
            <w:tcW w:type="dxa" w:w="1872"/>
          </w:tcPr>
          <w:p>
            <w:r>
              <w:rPr>
                <w:rFonts w:ascii="Times New Roman" w:hAnsi="Times New Roman"/>
                <w:sz w:val="22"/>
              </w:rPr>
              <w:t>[ADDRESS]</w:t>
            </w:r>
          </w:p>
        </w:tc>
        <w:tc>
          <w:tcPr>
            <w:tcW w:type="dxa" w:w="1872"/>
          </w:tcPr>
          <w:p>
            <w:r>
              <w:rPr>
                <w:rFonts w:ascii="Times New Roman" w:hAnsi="Times New Roman"/>
                <w:sz w:val="22"/>
              </w:rPr>
              <w:t>[___]%</w:t>
            </w:r>
          </w:p>
        </w:tc>
        <w:tc>
          <w:tcPr>
            <w:tcW w:type="dxa" w:w="1872"/>
          </w:tcPr>
          <w:p>
            <w:r>
              <w:rPr>
                <w:rFonts w:ascii="Times New Roman" w:hAnsi="Times New Roman"/>
                <w:sz w:val="22"/>
              </w:rPr>
              <w:t>$[AMOUNT] [and/or described property]</w:t>
            </w:r>
          </w:p>
        </w:tc>
        <w:tc>
          <w:tcPr>
            <w:tcW w:type="dxa" w:w="1872"/>
          </w:tcPr>
          <w:p>
            <w:r>
              <w:rPr>
                <w:rFonts w:ascii="Times New Roman" w:hAnsi="Times New Roman"/>
                <w:sz w:val="22"/>
              </w:rPr>
              <w:t>[DATE]</w:t>
            </w:r>
          </w:p>
        </w:tc>
      </w:tr>
      <w:tr>
        <w:tc>
          <w:tcPr>
            <w:tcW w:type="dxa" w:w="1872"/>
          </w:tcPr>
          <w:p>
            <w:r>
              <w:rPr>
                <w:rFonts w:ascii="Times New Roman" w:hAnsi="Times New Roman"/>
                <w:sz w:val="22"/>
              </w:rPr>
              <w:t>[MEMBER 2]</w:t>
            </w:r>
          </w:p>
        </w:tc>
        <w:tc>
          <w:tcPr>
            <w:tcW w:type="dxa" w:w="1872"/>
          </w:tcPr>
          <w:p>
            <w:r>
              <w:rPr>
                <w:rFonts w:ascii="Times New Roman" w:hAnsi="Times New Roman"/>
                <w:sz w:val="22"/>
              </w:rPr>
              <w:t>[ADDRESS]</w:t>
            </w:r>
          </w:p>
        </w:tc>
        <w:tc>
          <w:tcPr>
            <w:tcW w:type="dxa" w:w="1872"/>
          </w:tcPr>
          <w:p>
            <w:r>
              <w:rPr>
                <w:rFonts w:ascii="Times New Roman" w:hAnsi="Times New Roman"/>
                <w:sz w:val="22"/>
              </w:rPr>
              <w:t>[___]%</w:t>
            </w:r>
          </w:p>
        </w:tc>
        <w:tc>
          <w:tcPr>
            <w:tcW w:type="dxa" w:w="1872"/>
          </w:tcPr>
          <w:p>
            <w:r>
              <w:rPr>
                <w:rFonts w:ascii="Times New Roman" w:hAnsi="Times New Roman"/>
                <w:sz w:val="22"/>
              </w:rPr>
              <w:t>$[AMOUNT] [and/or described property]</w:t>
            </w:r>
          </w:p>
        </w:tc>
        <w:tc>
          <w:tcPr>
            <w:tcW w:type="dxa" w:w="1872"/>
          </w:tcPr>
          <w:p>
            <w:r>
              <w:rPr>
                <w:rFonts w:ascii="Times New Roman" w:hAnsi="Times New Roman"/>
                <w:sz w:val="22"/>
              </w:rPr>
              <w:t>[DATE]</w:t>
            </w:r>
          </w:p>
        </w:tc>
      </w:tr>
      <w:tr>
        <w:tc>
          <w:tcPr>
            <w:tcW w:type="dxa" w:w="1872"/>
          </w:tcPr>
          <w:p>
            <w:r>
              <w:rPr>
                <w:rFonts w:ascii="Times New Roman" w:hAnsi="Times New Roman"/>
                <w:sz w:val="22"/>
              </w:rPr>
              <w:t>[MEMBER 3]</w:t>
            </w:r>
          </w:p>
        </w:tc>
        <w:tc>
          <w:tcPr>
            <w:tcW w:type="dxa" w:w="1872"/>
          </w:tcPr>
          <w:p>
            <w:r>
              <w:rPr>
                <w:rFonts w:ascii="Times New Roman" w:hAnsi="Times New Roman"/>
                <w:sz w:val="22"/>
              </w:rPr>
              <w:t>[ADDRESS]</w:t>
            </w:r>
          </w:p>
        </w:tc>
        <w:tc>
          <w:tcPr>
            <w:tcW w:type="dxa" w:w="1872"/>
          </w:tcPr>
          <w:p>
            <w:r>
              <w:rPr>
                <w:rFonts w:ascii="Times New Roman" w:hAnsi="Times New Roman"/>
                <w:sz w:val="22"/>
              </w:rPr>
              <w:t>[___]%</w:t>
            </w:r>
          </w:p>
        </w:tc>
        <w:tc>
          <w:tcPr>
            <w:tcW w:type="dxa" w:w="1872"/>
          </w:tcPr>
          <w:p>
            <w:r>
              <w:rPr>
                <w:rFonts w:ascii="Times New Roman" w:hAnsi="Times New Roman"/>
                <w:sz w:val="22"/>
              </w:rPr>
              <w:t>$[AMOUNT] [and/or described property]</w:t>
            </w:r>
          </w:p>
        </w:tc>
        <w:tc>
          <w:tcPr>
            <w:tcW w:type="dxa" w:w="1872"/>
          </w:tcPr>
          <w:p>
            <w:r>
              <w:rPr>
                <w:rFonts w:ascii="Times New Roman" w:hAnsi="Times New Roman"/>
                <w:sz w:val="22"/>
              </w:rPr>
              <w:t>[DATE]</w:t>
            </w:r>
          </w:p>
        </w:tc>
      </w:tr>
      <w:tr>
        <w:tc>
          <w:tcPr>
            <w:tcW w:type="dxa" w:w="1872"/>
          </w:tcPr>
          <w:p>
            <w:r>
              <w:rPr>
                <w:rFonts w:ascii="Times New Roman" w:hAnsi="Times New Roman"/>
                <w:b/>
                <w:sz w:val="22"/>
              </w:rPr>
              <w:t>Total</w:t>
            </w:r>
          </w:p>
        </w:tc>
        <w:tc>
          <w:tcPr>
            <w:tcW w:type="dxa" w:w="1872"/>
          </w:tcPr>
          <w:p/>
        </w:tc>
        <w:tc>
          <w:tcPr>
            <w:tcW w:type="dxa" w:w="1872"/>
          </w:tcPr>
          <w:p>
            <w:r>
              <w:rPr>
                <w:rFonts w:ascii="Times New Roman" w:hAnsi="Times New Roman"/>
                <w:b/>
                <w:sz w:val="22"/>
              </w:rPr>
              <w:t>100%</w:t>
            </w:r>
          </w:p>
        </w:tc>
        <w:tc>
          <w:tcPr>
            <w:tcW w:type="dxa" w:w="1872"/>
          </w:tcPr>
          <w:p/>
        </w:tc>
        <w:tc>
          <w:tcPr>
            <w:tcW w:type="dxa" w:w="1872"/>
          </w:tcPr>
          <w:p/>
        </w:tc>
      </w:tr>
    </w:tbl>
    <w:p/>
    <w:p>
      <w:pPr>
        <w:spacing w:after="160"/>
        <w:jc w:val="both"/>
      </w:pPr>
      <w:r>
        <w:rPr>
          <w:rFonts w:ascii="Times New Roman" w:hAnsi="Times New Roman"/>
          <w:b/>
          <w:sz w:val="24"/>
        </w:rPr>
        <w:t>Transfer on Death designations (ss. 711.50–711.512, Fla. Stat.):</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Designating Member</w:t>
            </w:r>
          </w:p>
        </w:tc>
        <w:tc>
          <w:tcPr>
            <w:tcW w:type="dxa" w:w="4680"/>
          </w:tcPr>
          <w:p>
            <w:r>
              <w:rPr>
                <w:rFonts w:ascii="Times New Roman" w:hAnsi="Times New Roman"/>
                <w:b/>
                <w:sz w:val="22"/>
              </w:rPr>
              <w:t>TOD beneficiary (any person or entity)</w:t>
            </w:r>
          </w:p>
        </w:tc>
      </w:tr>
      <w:tr>
        <w:tc>
          <w:tcPr>
            <w:tcW w:type="dxa" w:w="4680"/>
          </w:tcPr>
          <w:p>
            <w:r>
              <w:rPr>
                <w:rFonts w:ascii="Times New Roman" w:hAnsi="Times New Roman"/>
                <w:sz w:val="22"/>
              </w:rPr>
              <w:t>[MEMBER 1]</w:t>
            </w:r>
          </w:p>
        </w:tc>
        <w:tc>
          <w:tcPr>
            <w:tcW w:type="dxa" w:w="4680"/>
          </w:tcPr>
          <w:p>
            <w:r>
              <w:rPr>
                <w:rFonts w:ascii="Times New Roman" w:hAnsi="Times New Roman"/>
                <w:sz w:val="22"/>
              </w:rPr>
              <w:t>[NAME(S) / None]</w:t>
            </w:r>
          </w:p>
        </w:tc>
      </w:tr>
      <w:tr>
        <w:tc>
          <w:tcPr>
            <w:tcW w:type="dxa" w:w="4680"/>
          </w:tcPr>
          <w:p>
            <w:r>
              <w:rPr>
                <w:rFonts w:ascii="Times New Roman" w:hAnsi="Times New Roman"/>
                <w:sz w:val="22"/>
              </w:rPr>
              <w:t>[MEMBER 2]</w:t>
            </w:r>
          </w:p>
        </w:tc>
        <w:tc>
          <w:tcPr>
            <w:tcW w:type="dxa" w:w="4680"/>
          </w:tcPr>
          <w:p>
            <w:r>
              <w:rPr>
                <w:rFonts w:ascii="Times New Roman" w:hAnsi="Times New Roman"/>
                <w:sz w:val="22"/>
              </w:rPr>
              <w:t>[NAME(S) / None]</w:t>
            </w:r>
          </w:p>
        </w:tc>
      </w:tr>
      <w:tr>
        <w:tc>
          <w:tcPr>
            <w:tcW w:type="dxa" w:w="4680"/>
          </w:tcPr>
          <w:p>
            <w:r>
              <w:rPr>
                <w:rFonts w:ascii="Times New Roman" w:hAnsi="Times New Roman"/>
                <w:sz w:val="22"/>
              </w:rPr>
              <w:t>[MEMBER 3]</w:t>
            </w:r>
          </w:p>
        </w:tc>
        <w:tc>
          <w:tcPr>
            <w:tcW w:type="dxa" w:w="4680"/>
          </w:tcPr>
          <w:p>
            <w:r>
              <w:rPr>
                <w:rFonts w:ascii="Times New Roman" w:hAnsi="Times New Roman"/>
                <w:sz w:val="22"/>
              </w:rPr>
              <w:t>[NAME(S) / None]</w:t>
            </w:r>
          </w:p>
        </w:tc>
      </w:tr>
    </w:tbl>
    <w:p/>
    <w:p>
      <w:pPr>
        <w:spacing w:after="160"/>
        <w:jc w:val="both"/>
      </w:pPr>
      <w:r>
        <w:rPr>
          <w:rFonts w:ascii="Times New Roman" w:hAnsi="Times New Roman"/>
          <w:sz w:val="24"/>
        </w:rPr>
        <w:t>If no beneficiary is designated, or a designation fails, the Member's interest passes as provided by law, subject to this Agreement.</w:t>
      </w:r>
    </w:p>
    <w:p>
      <w:pPr>
        <w:pStyle w:val="Heading1"/>
        <w:keepNext/>
        <w:spacing w:before="240"/>
      </w:pPr>
      <w:r>
        <w:rPr>
          <w:rFonts w:ascii="Times New Roman" w:hAnsi="Times New Roman"/>
          <w:b/>
          <w:sz w:val="26"/>
        </w:rPr>
        <w:t>SERIES EXHIBIT PS-[N]</w:t>
      </w:r>
    </w:p>
    <w:p>
      <w:pPr>
        <w:spacing w:after="160"/>
        <w:jc w:val="both"/>
      </w:pPr>
      <w:r>
        <w:rPr>
          <w:rFonts w:ascii="Times New Roman" w:hAnsi="Times New Roman"/>
          <w:b/>
          <w:sz w:val="24"/>
        </w:rPr>
        <w:t>Protected Series name (exactly as filed with the Department):</w:t>
      </w:r>
    </w:p>
    <w:p>
      <w:pPr>
        <w:spacing w:after="160"/>
        <w:jc w:val="both"/>
      </w:pPr>
      <w:r>
        <w:rPr>
          <w:rFonts w:ascii="Times New Roman" w:hAnsi="Times New Roman"/>
          <w:b/>
          <w:sz w:val="24"/>
        </w:rPr>
        <w:t>[COMPANY NAME], LLC - PS [N]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Item</w:t>
            </w:r>
          </w:p>
        </w:tc>
        <w:tc>
          <w:tcPr>
            <w:tcW w:type="dxa" w:w="4680"/>
          </w:tcPr>
          <w:p>
            <w:r>
              <w:rPr>
                <w:rFonts w:ascii="Times New Roman" w:hAnsi="Times New Roman"/>
                <w:b/>
                <w:sz w:val="22"/>
              </w:rPr>
              <w:t>Terms</w:t>
            </w:r>
          </w:p>
        </w:tc>
      </w:tr>
      <w:tr>
        <w:tc>
          <w:tcPr>
            <w:tcW w:type="dxa" w:w="4680"/>
          </w:tcPr>
          <w:p>
            <w:r>
              <w:rPr>
                <w:rFonts w:ascii="Times New Roman" w:hAnsi="Times New Roman"/>
                <w:sz w:val="22"/>
              </w:rPr>
              <w:t>Purpose of this Protected Series</w:t>
            </w:r>
          </w:p>
        </w:tc>
        <w:tc>
          <w:tcPr>
            <w:tcW w:type="dxa" w:w="4680"/>
          </w:tcPr>
          <w:p>
            <w:r>
              <w:rPr>
                <w:rFonts w:ascii="Times New Roman" w:hAnsi="Times New Roman"/>
                <w:sz w:val="22"/>
              </w:rPr>
              <w:t>[PURPOSE — e.g., "to acquire, own, lease, and manage the real property located at ___" or "any lawful business"]</w:t>
            </w:r>
          </w:p>
        </w:tc>
      </w:tr>
      <w:tr>
        <w:tc>
          <w:tcPr>
            <w:tcW w:type="dxa" w:w="4680"/>
          </w:tcPr>
          <w:p>
            <w:r>
              <w:rPr>
                <w:rFonts w:ascii="Times New Roman" w:hAnsi="Times New Roman"/>
                <w:sz w:val="22"/>
              </w:rPr>
              <w:t>Associated Member(s) and Series Percentages</w:t>
            </w:r>
          </w:p>
        </w:tc>
        <w:tc>
          <w:tcPr>
            <w:tcW w:type="dxa" w:w="4680"/>
          </w:tcPr>
          <w:p>
            <w:r>
              <w:rPr>
                <w:rFonts w:ascii="Times New Roman" w:hAnsi="Times New Roman"/>
                <w:sz w:val="22"/>
              </w:rPr>
              <w:t>[MEMBER 1] — [___]%; [MEMBER 2] — [___]% [must total 100%; or: "None — the Company is the deemed sole Associated Member"]</w:t>
            </w:r>
          </w:p>
        </w:tc>
      </w:tr>
      <w:tr>
        <w:tc>
          <w:tcPr>
            <w:tcW w:type="dxa" w:w="4680"/>
          </w:tcPr>
          <w:p>
            <w:r>
              <w:rPr>
                <w:rFonts w:ascii="Times New Roman" w:hAnsi="Times New Roman"/>
                <w:sz w:val="22"/>
              </w:rPr>
              <w:t>Managed by</w:t>
            </w:r>
          </w:p>
        </w:tc>
        <w:tc>
          <w:tcPr>
            <w:tcW w:type="dxa" w:w="4680"/>
          </w:tcPr>
          <w:p>
            <w:r>
              <w:rPr>
                <w:rFonts w:ascii="Times New Roman" w:hAnsi="Times New Roman"/>
                <w:sz w:val="22"/>
              </w:rPr>
              <w:t>Its Associated Members, by Majority in Interest of Series Percentages</w:t>
            </w:r>
          </w:p>
        </w:tc>
      </w:tr>
      <w:tr>
        <w:tc>
          <w:tcPr>
            <w:tcW w:type="dxa" w:w="4680"/>
          </w:tcPr>
          <w:p>
            <w:r>
              <w:rPr>
                <w:rFonts w:ascii="Times New Roman" w:hAnsi="Times New Roman"/>
                <w:sz w:val="22"/>
              </w:rPr>
              <w:t>Contributions to this Protected Series</w:t>
            </w:r>
          </w:p>
        </w:tc>
        <w:tc>
          <w:tcPr>
            <w:tcW w:type="dxa" w:w="4680"/>
          </w:tcPr>
          <w:p>
            <w:r>
              <w:rPr>
                <w:rFonts w:ascii="Times New Roman" w:hAnsi="Times New Roman"/>
                <w:sz w:val="22"/>
              </w:rPr>
              <w:t>[MEMBER 1]: $[AMOUNT] on [DATE]; [MEMBER 2]: $[AMOUNT] on [DATE] [and/or described property]</w:t>
            </w:r>
          </w:p>
        </w:tc>
      </w:tr>
      <w:tr>
        <w:tc>
          <w:tcPr>
            <w:tcW w:type="dxa" w:w="4680"/>
          </w:tcPr>
          <w:p>
            <w:r>
              <w:rPr>
                <w:rFonts w:ascii="Times New Roman" w:hAnsi="Times New Roman"/>
                <w:sz w:val="22"/>
              </w:rPr>
              <w:t>Initial Associated Assets</w:t>
            </w:r>
          </w:p>
        </w:tc>
        <w:tc>
          <w:tcPr>
            <w:tcW w:type="dxa" w:w="4680"/>
          </w:tcPr>
          <w:p>
            <w:r>
              <w:rPr>
                <w:rFonts w:ascii="Times New Roman" w:hAnsi="Times New Roman"/>
                <w:sz w:val="22"/>
              </w:rPr>
              <w:t>As set forth on the Asset Schedule attached to this Series Exhibit and completed by the Member(s), together with the records maintained under Article 8.</w:t>
            </w:r>
          </w:p>
        </w:tc>
      </w:tr>
      <w:tr>
        <w:tc>
          <w:tcPr>
            <w:tcW w:type="dxa" w:w="4680"/>
          </w:tcPr>
          <w:p>
            <w:r>
              <w:rPr>
                <w:rFonts w:ascii="Times New Roman" w:hAnsi="Times New Roman"/>
                <w:sz w:val="22"/>
              </w:rPr>
              <w:t>Special terms (if any)</w:t>
            </w:r>
          </w:p>
        </w:tc>
        <w:tc>
          <w:tcPr>
            <w:tcW w:type="dxa" w:w="4680"/>
          </w:tcPr>
          <w:p>
            <w:r>
              <w:rPr>
                <w:rFonts w:ascii="Times New Roman" w:hAnsi="Times New Roman"/>
                <w:sz w:val="22"/>
              </w:rPr>
              <w:t>[None / variations from the base Agreement — may not vary Article 8 or non-variable provisions of the Act]</w:t>
            </w:r>
          </w:p>
        </w:tc>
      </w:tr>
      <w:tr>
        <w:tc>
          <w:tcPr>
            <w:tcW w:type="dxa" w:w="4680"/>
          </w:tcPr>
          <w:p>
            <w:r>
              <w:rPr>
                <w:rFonts w:ascii="Times New Roman" w:hAnsi="Times New Roman"/>
                <w:sz w:val="22"/>
              </w:rPr>
              <w:t>Dissolution events specific to this Protected Series (if any)</w:t>
            </w:r>
          </w:p>
        </w:tc>
        <w:tc>
          <w:tcPr>
            <w:tcW w:type="dxa" w:w="4680"/>
          </w:tcPr>
          <w:p>
            <w:r>
              <w:rPr>
                <w:rFonts w:ascii="Times New Roman" w:hAnsi="Times New Roman"/>
                <w:sz w:val="22"/>
              </w:rPr>
              <w:t>[None / describe]</w:t>
            </w:r>
          </w:p>
        </w:tc>
      </w:tr>
    </w:tbl>
    <w:p/>
    <w:p>
      <w:pPr>
        <w:spacing w:after="160"/>
        <w:jc w:val="both"/>
      </w:pPr>
      <w:r>
        <w:rPr>
          <w:rFonts w:ascii="Times New Roman" w:hAnsi="Times New Roman"/>
          <w:b/>
          <w:sz w:val="24"/>
        </w:rPr>
        <w:t>Adopted effective [DATE] by all Associated Members of this Protected Series:</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[NAME], Associated Member</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[ASSOCIATED MEMBER 1], Member</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[ASSOCIATED MEMBER 2], Member</w:t>
      </w:r>
    </w:p>
    <w:p>
      <w:pPr>
        <w:pStyle w:val="Heading1"/>
        <w:keepNext/>
        <w:spacing w:before="240"/>
      </w:pPr>
      <w:r>
        <w:rPr>
          <w:rFonts w:ascii="Times New Roman" w:hAnsi="Times New Roman"/>
          <w:b/>
          <w:sz w:val="26"/>
        </w:rPr>
        <w:t>ASSET SCHEDULE — ATTACHMENT TO SERIES EXHIBIT PS-[N]</w:t>
      </w:r>
    </w:p>
    <w:p>
      <w:pPr>
        <w:spacing w:after="160"/>
        <w:jc w:val="both"/>
      </w:pPr>
      <w:r>
        <w:rPr>
          <w:rFonts w:ascii="Times New Roman" w:hAnsi="Times New Roman"/>
          <w:i/>
          <w:sz w:val="24"/>
        </w:rPr>
        <w:t>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Asset description</w:t>
            </w:r>
          </w:p>
        </w:tc>
        <w:tc>
          <w:tcPr>
            <w:tcW w:type="dxa" w:w="2340"/>
          </w:tcPr>
          <w:p>
            <w:r>
              <w:rPr>
                <w:rFonts w:ascii="Times New Roman" w:hAnsi="Times New Roman"/>
                <w:b/>
                <w:sz w:val="22"/>
              </w:rPr>
              <w:t>Date acquired</w:t>
            </w:r>
          </w:p>
        </w:tc>
        <w:tc>
          <w:tcPr>
            <w:tcW w:type="dxa" w:w="2340"/>
          </w:tcPr>
          <w:p>
            <w:r>
              <w:rPr>
                <w:rFonts w:ascii="Times New Roman" w:hAnsi="Times New Roman"/>
                <w:b/>
                <w:sz w:val="22"/>
              </w:rPr>
              <w:t>Acquired from</w:t>
            </w:r>
          </w:p>
        </w:tc>
        <w:tc>
          <w:tcPr>
            <w:tcW w:type="dxa" w:w="2340"/>
          </w:tcPr>
          <w:p>
            <w:r>
              <w:rPr>
                <w:rFonts w:ascii="Times New Roman" w:hAnsi="Times New Roman"/>
                <w:b/>
                <w:sz w:val="22"/>
              </w:rPr>
              <w:t>Consideration / payor / payee (if from the Company or another series)</w:t>
            </w:r>
          </w:p>
        </w:tc>
      </w:tr>
    </w:tbl>
    <w:p/>
    <w:p>
      <w:pPr>
        <w:spacing w:after="160"/>
        <w:jc w:val="both"/>
      </w:pPr>
      <w:r>
        <w:rPr>
          <w:rFonts w:ascii="Times New Roman" w:hAnsi="Times New Roman"/>
          <w:i/>
          <w:sz w:val="24"/>
        </w:rPr>
        <w:t>Form document — [COMPANY NAME], LLC Operating Agreement (Member-Managed, Multiple Members / Partnership Taxation), v1 draft. Statutory citations verified against Online Sunshine on August 3, 2026: ss. 605.2103, 605.2107, 605.2201, 605.2202, 605.2301, 605.2401, 605.2501, 605.2604, 605.0502, 605.0503, 605.04091, 48.062, 711.50–711.512, Fla. Stat.; 11 U.S.C. §365; In re Soderstrom, 484 B.R. 874 (M.D. Fla. 2013).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