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(Member-Managed — Multiple Members / Partnership Taxation)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2.10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who is an individual may designate any person or entity as a beneficiary. A designation may name a backup beneficiary to take if the first beneficiary does not survive the Member. Members who hold a Membership Interest jointly as tenants in common may not designate a TOD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 BY THE MEMBERS</w:t>
      </w:r>
    </w:p>
    <w:p>
      <w:pPr>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managed by the Members. As permitted by s. 605.2107(1)(n), Florida Statutes, this Section varies s. 605.2304(2) so that the Members, rather than the Company, are the protected-series managers of each Protected Series. Every decision with respect to a Protected Series is made by a Majority in Interest of the Members as provided in Section 5.3, and the Administrative Member performs for each Protected Series the ministerial functions described in Section 5.8. The Members have, with respect to each Protected Series, the rights, powers, and duties of protected-series managers under the Act, subject to this Agreement and the Series Exhibit.</w:t>
      </w:r>
    </w:p>
    <w:p>
      <w:pPr>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widowControl/>
        <w:spacing w:before="240" w:after="200"/>
      </w:pPr>
      <w:r>
        <w:rPr>
          <w:rFonts w:ascii="Times New Roman" w:hAnsi="Times New Roman"/>
          <w:b/>
          <w:sz w:val="26"/>
          <w:szCs w:val="26"/>
        </w:rPr>
        <w:t xml:space="preserve">ARTICLE 6 — CAPITAL; CAPITAL ACCOUNTS</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Capital Accounts.</w:t>
      </w:r>
      <w:r>
        <w:rPr>
          <w:rFonts w:ascii="Times New Roman" w:hAnsi="Times New Roman"/>
          <w:sz w:val="24"/>
          <w:szCs w:val="24"/>
        </w:rPr>
        <w:t xml:space="preserve"> A capital account shall be established and maintained for each Member reflecting the Member's capital in the Company. Capital accounts shall be maintained in accordance with the capital accounting rules of 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Membership Interest succeeds to the portion of the transferor's capital account (and sub-accounts) attributable to the transferred interest. Nothing in this Agreement creates a deficit restoration obligation or otherwise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Profits, losses, and each item of income, gain, loss, deduction, and credit of each Protected Series shall be allocated to the Company as its sole owner, and those of the Company (exclusive of every Protected Series) shall be allocated among the Members 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in accordance with section 704(c) of the Code. The Administrative Member shall apply this Section so that the allocations have substantial economic effect and shall resolve questions of application consistently and in good faith.</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in proportion to their Percentage Interests.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each Member to satisfy federal and state income tax liabilities attributable to the Member's distributive share of income, and is authorized to pay any such amount directly to the government agency responsible for collection of the tax on the Member's behalf.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be classified as a partnership for federal income tax purposes, as federal tax law provides.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Tax Returns; Information.</w:t>
      </w:r>
      <w:r>
        <w:rPr>
          <w:rFonts w:ascii="Times New Roman" w:hAnsi="Times New Roman"/>
          <w:sz w:val="24"/>
          <w:szCs w:val="24"/>
        </w:rPr>
        <w:t xml:space="preserve"> The Administrative Member shall cause to be prepared and filed all tax returns required of the Company and of each Protected Series, if necessary or required, and shall deliver to each Member, after the end of each fiscal year, the tax information (including Schedule K-1s, where applicable) necessary for the Member's returns.</w:t>
      </w:r>
    </w:p>
    <w:p>
      <w:pPr>
        <w:widowControl/>
        <w:spacing w:after="160"/>
        <w:jc w:val="both"/>
      </w:pPr>
      <w:r>
        <w:rPr>
          <w:rFonts w:ascii="Times New Roman" w:hAnsi="Times New Roman"/>
          <w:b/>
          <w:sz w:val="24"/>
          <w:szCs w:val="24"/>
        </w:rPr>
        <w:t xml:space="preserve">9.3 Partnership Representative.</w:t>
      </w:r>
      <w:r>
        <w:rPr>
          <w:rFonts w:ascii="Times New Roman" w:hAnsi="Times New Roman"/>
          <w:sz w:val="24"/>
          <w:szCs w:val="24"/>
        </w:rPr>
        <w:t xml:space="preserve"> The Administrative Member (or a person a Majority in Interest designates) shall serve as the "partnership representative" within the meaning of section 6223 of the Code for the Company and for each Protected Series classified as a partnership, with all authority granted to a partnership representative under the Code, including the authority to make or revoke elections (including elections under sections 6221(b) and 6226 of the Code), to conduct and resolve audits and proceedings, and to bind the Members as the Code provides. Each Member shall provide the information, and take the actions, reasonably requested by the partnership representative in connection with any tax matter, and shall pay the Member's share of any imputed underpayment or similar amount attributable to the Member as reasonably determined by the partnership representative.</w:t>
      </w:r>
    </w:p>
    <w:p>
      <w:pPr>
        <w:widowControl/>
        <w:spacing w:after="160"/>
        <w:jc w:val="both"/>
      </w:pPr>
      <w:r>
        <w:rPr>
          <w:rFonts w:ascii="Times New Roman" w:hAnsi="Times New Roman"/>
          <w:b/>
          <w:sz w:val="24"/>
          <w:szCs w:val="24"/>
        </w:rPr>
        <w:t xml:space="preserve">9.4 Tax Elections.</w:t>
      </w:r>
      <w:r>
        <w:rPr>
          <w:rFonts w:ascii="Times New Roman" w:hAnsi="Times New Roman"/>
          <w:sz w:val="24"/>
          <w:szCs w:val="24"/>
        </w:rPr>
        <w:t xml:space="preserve"> A Majority in Interest may make, change, or revoke any tax election for the Company or any Protected Series (including an election under section 754 of the Code) that it determines to be in the best interests of the Members as a whole.</w:t>
      </w:r>
    </w:p>
    <w:p>
      <w:pPr>
        <w:widowControl/>
        <w:spacing w:after="160"/>
        <w:jc w:val="both"/>
      </w:pPr>
      <w:r>
        <w:rPr>
          <w:rFonts w:ascii="Times New Roman" w:hAnsi="Times New Roman"/>
          <w:b/>
          <w:sz w:val="24"/>
          <w:szCs w:val="24"/>
        </w:rPr>
        <w:t xml:space="preserve">9.5 Fiscal Year.</w:t>
      </w:r>
      <w:r>
        <w:rPr>
          <w:rFonts w:ascii="Times New Roman" w:hAnsi="Times New Roman"/>
          <w:sz w:val="24"/>
          <w:szCs w:val="24"/>
        </w:rPr>
        <w:t xml:space="preserve"> The fiscal year of the Company and of each Protected Series is the calendar year unless a Majority in Interest selects another permitted year.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next, to the Company to the extent of their capital sub-account balances for that Protected Series;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next, to the Members to the extent of their capital sub-account balances for the Company; and finally, the balance to the Members in proportion to their Percentage Interests.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Deficit Obligation; Recourse Limited.</w:t>
      </w:r>
      <w:r>
        <w:rPr>
          <w:rFonts w:ascii="Times New Roman" w:hAnsi="Times New Roman"/>
          <w:sz w:val="24"/>
          <w:szCs w:val="24"/>
        </w:rPr>
        <w:t xml:space="preserve"> No Member shall have any obligation to restore any deficit or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date(s) set forth below.</w:t>
      </w:r>
    </w:p>
    <w:p>
      <w:pPr>
        <w:keepNext/>
        <w:widowControl/>
        <w:spacing w:after="160"/>
        <w:jc w:val="both"/>
      </w:pPr>
      <w:r>
        <w:rPr>
          <w:rFonts w:ascii="Times New Roman" w:hAnsi="Times New Roman"/>
          <w:b/>
          <w:sz w:val="24"/>
          <w:szCs w:val="24"/>
        </w:rPr>
        <w:t xml:space="preserve">MEMBERS:</w:t>
      </w:r>
    </w:p>
    <w:p>
      <w:pPr>
        <w:keepNext/>
        <w:widowControl/>
        <w:spacing w:after="160"/>
        <w:jc w:val="both"/>
      </w:pPr>
      <w:r>
        <w:rPr>
          <w:rFonts w:ascii="Times New Roman" w:hAnsi="Times New Roman"/>
          <w:b/>
          <w:sz w:val="24"/>
          <w:szCs w:val="24"/>
        </w:rPr>
        <w:t xml:space="preserve">[UNIT]</w:t>
      </w:r>
    </w:p>
    <w:p>
      <w:pPr>
        <w:widowControl/>
        <w:spacing w:after="160"/>
        <w:jc w:val="both"/>
      </w:pPr>
      <w:r>
        <w:rPr>
          <w:rFonts w:ascii="Times New Roman" w:hAnsi="Times New Roman"/>
          <w:sz w:val="24"/>
          <w:szCs w:val="24"/>
        </w:rPr>
        <w:t xml:space="preserve">[HOLDING]</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Contributed by</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[ASSET] | [ASSET VALUE] | [ASSET BY] | [ASSET TO] |</w:t>
      </w:r>
    </w:p>
    <w:p>
      <w:pPr>
        <w:keepNext/>
        <w:widowControl/>
        <w:spacing w:after="160"/>
        <w:jc w:val="both"/>
      </w:pPr>
      <w:r>
        <w:rPr>
          <w:rFonts w:ascii="Times New Roman" w:hAnsi="Times New Roman"/>
          <w:b/>
          <w:sz w:val="24"/>
          <w:szCs w:val="24"/>
        </w:rPr>
        <w:t xml:space="preserve">Allocation of the Company's capital to the Protected Series: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Protected Series</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Assets allocated by the Company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[SERIES] | [CONTRIBUTION] | [SERIES TOTAL]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Retained by the Company</w:t>
      </w:r>
      <w:r>
        <w:rPr>
          <w:rFonts w:ascii="Times New Roman" w:hAnsi="Times New Roman"/>
          <w:sz w:val="24"/>
          <w:szCs w:val="24"/>
        </w:rPr>
        <w:t xml:space="preserve"> | [RETAINED ASSETS] | [RETAINED]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If that beneficiary does not survive the Member</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(effective at the death of the last surviving spouse) | [MEMBER TOD BACKUP]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Members, as protected-series managers (s. 605.2304, Fla. Stat., as varied by Section 5.2 of the Agreement), acting by a Majority in Interest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a Majority in Interest of its 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Member</w:t>
      </w:r>
    </w:p>
    <w:p>
      <w:pPr>
        <w:widowControl/>
        <w:spacing w:after="160"/>
        <w:jc w:val="both"/>
      </w:pPr>
      <w:r>
        <w:rPr>
          <w:rFonts w:ascii="Times New Roman" w:hAnsi="Times New Roman"/>
          <w:sz w:val="24"/>
          <w:szCs w:val="24"/>
        </w:rPr>
        <w:t xml:space="preserve">[ADOPTER NAME], Member</w:t>
      </w:r>
    </w:p>
    <w:p>
      <w:pPr>
        <w:keepNext/>
        <w:widowControl/>
        <w:spacing w:after="160"/>
        <w:jc w:val="both"/>
      </w:pPr>
      <w:r>
        <w:rPr>
          <w:rFonts w:ascii="Times New Roman" w:hAnsi="Times New Roman"/>
          <w:sz w:val="24"/>
          <w:szCs w:val="24"/>
        </w:rPr>
        <w:t xml:space="preserve">By: _____________________________</w:t>
      </w:r>
    </w:p>
    <w:p>
      <w:pPr>
        <w:widowControl/>
        <w:spacing w:after="160"/>
        <w:jc w:val="both"/>
      </w:pPr>
      <w:r>
        <w:rPr>
          <w:rFonts w:ascii="Times New Roman" w:hAnsi="Times New Roman"/>
          <w:sz w:val="24"/>
          <w:szCs w:val="24"/>
        </w:rPr>
        <w:t xml:space="preserve">[[indent]][PRINTED NAME]</w:t>
      </w:r>
    </w:p>
    <w:p>
      <w:pPr>
        <w:widowControl/>
        <w:spacing w:after="160"/>
        <w:jc w:val="both"/>
      </w:pPr>
      <w:r>
        <w:rPr>
          <w:rFonts w:ascii="Times New Roman" w:hAnsi="Times New Roman"/>
          <w:sz w:val="24"/>
          <w:szCs w:val="24"/>
        </w:rPr>
        <w:t xml:space="preserve">[[indent]][TITLE]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(Member-Managed, Multiple Members / Partnership Taxation),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