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(Manager-Managed — S Corporation)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Next/>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2.7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2.8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widowControl/>
        <w:spacing w:after="160"/>
        <w:jc w:val="both"/>
      </w:pPr>
      <w:r>
        <w:rPr>
          <w:rFonts w:ascii="Times New Roman" w:hAnsi="Times New Roman"/>
          <w:b/>
          <w:sz w:val="24"/>
          <w:szCs w:val="24"/>
        </w:rPr>
        <w:t xml:space="preserve">2.9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widowControl/>
        <w:spacing w:after="160"/>
        <w:jc w:val="both"/>
      </w:pPr>
      <w:r>
        <w:rPr>
          <w:rFonts w:ascii="Times New Roman" w:hAnsi="Times New Roman"/>
          <w:b/>
          <w:sz w:val="24"/>
          <w:szCs w:val="24"/>
        </w:rPr>
        <w:t xml:space="preserve">2.10 "Manager"</w:t>
      </w:r>
      <w:r>
        <w:rPr>
          <w:rFonts w:ascii="Times New Roman" w:hAnsi="Times New Roman"/>
          <w:sz w:val="24"/>
          <w:szCs w:val="24"/>
        </w:rPr>
        <w:t xml:space="preserve"> means the person named in Section 5.1 and any successor designated under this Agreement.</w:t>
      </w:r>
    </w:p>
    <w:p>
      <w:pPr>
        <w:widowControl/>
        <w:spacing w:after="160"/>
        <w:jc w:val="both"/>
      </w:pPr>
      <w:r>
        <w:rPr>
          <w:rFonts w:ascii="Times New Roman" w:hAnsi="Times New Roman"/>
          <w:b/>
          <w:sz w:val="24"/>
          <w:szCs w:val="24"/>
        </w:rPr>
        <w:t xml:space="preserve">2.11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widowControl/>
        <w:spacing w:after="160"/>
        <w:jc w:val="both"/>
      </w:pPr>
      <w:r>
        <w:rPr>
          <w:rFonts w:ascii="Times New Roman" w:hAnsi="Times New Roman"/>
          <w:b/>
          <w:sz w:val="24"/>
          <w:szCs w:val="24"/>
        </w:rPr>
        <w:t xml:space="preserve">2.12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2.13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widowControl/>
        <w:spacing w:after="160"/>
        <w:jc w:val="both"/>
      </w:pPr>
      <w:r>
        <w:rPr>
          <w:rFonts w:ascii="Times New Roman" w:hAnsi="Times New Roman"/>
          <w:b/>
          <w:sz w:val="24"/>
          <w:szCs w:val="24"/>
        </w:rPr>
        <w:t xml:space="preserve">2.14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2.15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2.16 "Protected Series Manager"</w:t>
      </w:r>
      <w:r>
        <w:rPr>
          <w:rFonts w:ascii="Times New Roman" w:hAnsi="Times New Roman"/>
          <w:sz w:val="24"/>
          <w:szCs w:val="24"/>
        </w:rPr>
        <w:t xml:space="preserve"> means the person responsible for management of a Protected Series under Section 5.2.</w:t>
      </w:r>
    </w:p>
    <w:p>
      <w:pPr>
        <w:widowControl/>
        <w:spacing w:after="160"/>
        <w:jc w:val="both"/>
      </w:pPr>
      <w:r>
        <w:rPr>
          <w:rFonts w:ascii="Times New Roman" w:hAnsi="Times New Roman"/>
          <w:b/>
          <w:sz w:val="24"/>
          <w:szCs w:val="24"/>
        </w:rPr>
        <w:t xml:space="preserve">2.17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widowControl/>
        <w:spacing w:after="160"/>
        <w:jc w:val="both"/>
      </w:pPr>
      <w:r>
        <w:rPr>
          <w:rFonts w:ascii="Times New Roman" w:hAnsi="Times New Roman"/>
          <w:b/>
          <w:sz w:val="24"/>
          <w:szCs w:val="24"/>
        </w:rPr>
        <w:t xml:space="preserve">2.18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MEMBERS; VOTING; MEMBER DUTIES</w:t>
      </w:r>
    </w:p>
    <w:p>
      <w:pPr>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the Manager determines otherwise. Each Member's interest in the Company is personal property for all purposes.</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entirety shall be voted only by the consensus of both spouses; neither spouse acting alone may vote the interest except as the other spouse's attorney-in-fact under a duly executed power of attorney.</w:t>
      </w:r>
    </w:p>
    <w:p>
      <w:pPr>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Next/>
        <w:widowControl/>
        <w:spacing w:after="160"/>
        <w:jc w:val="both"/>
      </w:pPr>
      <w:r>
        <w:rPr>
          <w:rFonts w:ascii="Times New Roman" w:hAnsi="Times New Roman"/>
          <w:b/>
          <w:sz w:val="24"/>
          <w:szCs w:val="24"/>
        </w:rPr>
        <w:t xml:space="preserve">4.7 Competition. [SELECT ONE ALTERNATIVE — see Instructions]</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widowControl/>
        <w:spacing w:after="160"/>
        <w:jc w:val="both"/>
      </w:pPr>
      <w:r>
        <w:rPr>
          <w:rFonts w:ascii="Times New Roman" w:hAnsi="Times New Roman"/>
          <w:b/>
          <w:sz w:val="24"/>
          <w:szCs w:val="24"/>
        </w:rPr>
        <w:t xml:space="preserve">4.12 Incapacity of a Member.</w:t>
      </w:r>
      <w:r>
        <w:rPr>
          <w:rFonts w:ascii="Times New Roman" w:hAnsi="Times New Roman"/>
          <w:sz w:val="24"/>
          <w:szCs w:val="24"/>
        </w:rPr>
        <w:t xml:space="preserve">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the Manager, and the other Members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w:t>
      </w:r>
    </w:p>
    <w:p>
      <w:pPr>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The initial Manager is [MANAGER NAMES].The initial Managers are [MANAGER NAMES].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approval stated:</w:t>
      </w:r>
    </w:p>
    <w:p>
      <w:pPr>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cause any Associated Asset to become an Associated Asset of the Company or of a different Protected Series</w:t>
      </w:r>
      <w:r>
        <w:rPr>
          <w:rFonts w:ascii="Times New Roman" w:hAnsi="Times New Roman"/>
          <w:sz w:val="24"/>
          <w:szCs w:val="24"/>
        </w:rPr>
        <w:t xml:space="preserve"> — the consent of a Majority in Interest;</w:t>
      </w:r>
    </w:p>
    <w:p>
      <w:pPr>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widowControl/>
        <w:spacing w:after="160"/>
        <w:jc w:val="both"/>
      </w:pPr>
      <w:r>
        <w:rPr>
          <w:rFonts w:ascii="Times New Roman" w:hAnsi="Times New Roman"/>
          <w:sz w:val="24"/>
          <w:szCs w:val="24"/>
        </w:rPr>
        <w:t xml:space="preserve">(e) admit any additional Member — the approval required by Article 12;</w:t>
      </w:r>
    </w:p>
    <w:p>
      <w:pPr>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 or</w:t>
      </w:r>
    </w:p>
    <w:p>
      <w:pPr>
        <w:widowControl/>
        <w:spacing w:after="160"/>
        <w:jc w:val="both"/>
      </w:pPr>
      <w:r>
        <w:rPr>
          <w:rFonts w:ascii="Times New Roman" w:hAnsi="Times New Roman"/>
          <w:sz w:val="24"/>
          <w:szCs w:val="24"/>
        </w:rPr>
        <w:t xml:space="preserve">(h) amend this Agreement or any Series Exhibit — the approval required by Section 15.1; or</w:t>
      </w:r>
    </w:p>
    <w:p>
      <w:pPr>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 A Manager who exceeds the authority conferred by Section 5.4 is liable to the Company or the affected Protected Series for any loss caused by that act, and the Company or Protected Series is entitled to indemnity from that Manager.</w:t>
      </w:r>
    </w:p>
    <w:p>
      <w:pPr>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With the consent of all Members required by Section 5.4(i),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 The limitations in Section 5.4 apply to the Manager whether or not a statement of authority is filed or recorded.</w:t>
      </w:r>
    </w:p>
    <w:p>
      <w:pPr>
        <w:keepNext/>
        <w:widowControl/>
        <w:spacing w:after="160"/>
        <w:jc w:val="both"/>
      </w:pPr>
      <w:r>
        <w:rPr>
          <w:rFonts w:ascii="Times New Roman" w:hAnsi="Times New Roman"/>
          <w:b/>
          <w:sz w:val="24"/>
          <w:szCs w:val="24"/>
        </w:rPr>
        <w:t xml:space="preserve">5.9 Competition; Other Activities of the Manager. [SELECT THE SAME ALTERNATIVE AS SECTION 4.7]</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w:t>
      </w:r>
      <w:r>
        <w:rPr>
          <w:rFonts w:ascii="Times New Roman" w:hAnsi="Times New Roman"/>
          <w:i/>
          <w:sz w:val="24"/>
          <w:szCs w:val="24"/>
        </w:rPr>
        <w:t xml:space="preserve">(Retain the Alternative selected in Section 4.7 and delete the other.)</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6.6 Contribution Records; Identical Rights.</w:t>
      </w:r>
      <w:r>
        <w:rPr>
          <w:rFonts w:ascii="Times New Roman" w:hAnsi="Times New Roman"/>
          <w:sz w:val="24"/>
          <w:szCs w:val="24"/>
        </w:rPr>
        <w:t xml:space="preserve">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personally obligates any Member to contribute capital beyond the contributions required by Sections 6.1 and 6.2.</w:t>
      </w:r>
    </w:p>
    <w:p>
      <w:pPr>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ALLOCATIONS AND DISTRIBUTIONS</w:t>
      </w:r>
    </w:p>
    <w:p>
      <w:pPr>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All items of income, gain, loss, deduction, and credit of the Company and of each Protected Series shall be allocated among the Members strictly pro rata in accordance with their Percentage Interests, consistent with sections 1366 and 1377 of the Internal Revenue Code of 1986, as amended (the "Code").</w:t>
      </w:r>
    </w:p>
    <w:p>
      <w:pPr>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strictly pro rata in accordance with their Percentage Interests, and every such distribution shall confer identical rights on every Membership Interest. Each distribution shall be recorded in the records maintained under Article 8, identifying its source.</w:t>
      </w:r>
    </w:p>
    <w:p>
      <w:pPr>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the Manager may make distributions 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A tax distribution funded from the Associated Assets of a Protected Series shall be made by that Protected Series to the Company and distributed by the Company to the Members, and is treated as an advance against later distributions under Section 7.2.</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Members' inspection rights are as stated in Section 4.10.</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or the Manager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Manager shall cause to be prepared and filed all tax returns required of the Company (including Form 1120-S) and of each Protected Series, if necessary or required, and shall deliver to each Member, after the end of each fiscal year, the information (including Schedule K-1) necessary for the Member's returns.</w:t>
      </w:r>
    </w:p>
    <w:p>
      <w:pPr>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null and void ab initio and shall be given no force or effect for any purpose; (b) a TOD designation under Section 4.11 is effective only in favor of a beneficiary that is an eligible S corporation shareholder; and (c) no Protected Series may be established, and no interest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Next/>
        <w:widowControl/>
        <w:spacing w:after="160"/>
        <w:jc w:val="both"/>
      </w:pPr>
      <w:r>
        <w:rPr>
          <w:rFonts w:ascii="Times New Roman" w:hAnsi="Times New Roman"/>
          <w:b/>
          <w:sz w:val="24"/>
          <w:szCs w:val="24"/>
        </w:rPr>
        <w:t xml:space="preserve">9.4 S Corporation Status; Intent; Savings Clause.</w:t>
      </w:r>
    </w:p>
    <w:p>
      <w:pPr>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 with that intent.</w:t>
      </w:r>
    </w:p>
    <w:p>
      <w:pPr>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No Member,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widowControl/>
        <w:spacing w:after="160"/>
        <w:jc w:val="both"/>
      </w:pPr>
      <w:r>
        <w:rPr>
          <w:rFonts w:ascii="Times New Roman" w:hAnsi="Times New Roman"/>
          <w:b/>
          <w:sz w:val="24"/>
          <w:szCs w:val="24"/>
        </w:rPr>
        <w:t xml:space="preserve">(d) Pro rata in all events.</w:t>
      </w:r>
      <w:r>
        <w:rPr>
          <w:rFonts w:ascii="Times New Roman" w:hAnsi="Times New Roman"/>
          <w:sz w:val="24"/>
          <w:szCs w:val="24"/>
        </w:rPr>
        <w:t xml:space="preserve">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Members and the Manager shall cooperate to obtain relief for an inadvertent termination or invalid election under section 1362(f) of the Code, including making the adjustments and taking the actions the Internal Revenue Service may require.</w:t>
      </w:r>
    </w:p>
    <w:p>
      <w:pPr>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The Manager may make, change, or revoke any other tax election for the Company or any Protected Series that is consistent with maintaining the S corporation election and that the Manager determines to be in the best interests of the Members as a whole.</w:t>
      </w:r>
    </w:p>
    <w:p>
      <w:pPr>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the Manager.</w:t>
      </w:r>
    </w:p>
    <w:p>
      <w:pPr>
        <w:keepNext/>
        <w:widowControl/>
        <w:spacing w:before="240" w:after="200"/>
      </w:pPr>
      <w:r>
        <w:rPr>
          <w:rFonts w:ascii="Times New Roman" w:hAnsi="Times New Roman"/>
          <w:b/>
          <w:sz w:val="26"/>
          <w:szCs w:val="26"/>
        </w:rPr>
        <w:t xml:space="preserve">ARTICLE 10 — TRANSFERS; CREDITOR PROVISIONS</w:t>
      </w:r>
    </w:p>
    <w:p>
      <w:pPr>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widowControl/>
        <w:spacing w:before="240" w:after="200"/>
      </w:pPr>
      <w:r>
        <w:rPr>
          <w:rFonts w:ascii="Times New Roman" w:hAnsi="Times New Roman"/>
          <w:b/>
          <w:sz w:val="26"/>
          <w:szCs w:val="26"/>
        </w:rPr>
        <w:t xml:space="preserve">ARTICLE 11 — EXECUTORY CONTRACT</w:t>
      </w:r>
    </w:p>
    <w:p>
      <w:pPr>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the Manager, and a bankruptcy trustee cannot assume or assign a debtor Member's interest in the Company in accordance with 11 U.S.C. §365(c)(1) without the prior written consent of the other Members.</w:t>
      </w:r>
    </w:p>
    <w:p>
      <w:pPr>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widowControl/>
        <w:spacing w:before="240" w:after="200"/>
      </w:pPr>
      <w:r>
        <w:rPr>
          <w:rFonts w:ascii="Times New Roman" w:hAnsi="Times New Roman"/>
          <w:b/>
          <w:sz w:val="26"/>
          <w:szCs w:val="26"/>
        </w:rPr>
        <w:t xml:space="preserve">ARTICLE 12 — ADMISSION OF MEMBERS; ASSOCIATION WITH PROTECTED SERIES</w:t>
      </w:r>
    </w:p>
    <w:p>
      <w:pPr>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13 — WITHDRAWAL; DEADLOCK</w:t>
      </w:r>
    </w:p>
    <w:p>
      <w:pPr>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Next/>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widowControl/>
        <w:spacing w:before="240" w:after="200"/>
      </w:pPr>
      <w:r>
        <w:rPr>
          <w:rFonts w:ascii="Times New Roman" w:hAnsi="Times New Roman"/>
          <w:b/>
          <w:sz w:val="26"/>
          <w:szCs w:val="26"/>
        </w:rPr>
        <w:t xml:space="preserve">ARTICLE 14 — DISSOLUTION AND WINDING UP</w:t>
      </w:r>
    </w:p>
    <w:p>
      <w:pPr>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in winding up, whether of the Company or of any Protected Series, shall be made in proportion to Percentage Interests, so that every Membership Interest confers identical rights to liquidation proceeds.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14.5 No Obligation to Contribute; Recourse Limited.</w:t>
      </w:r>
      <w:r>
        <w:rPr>
          <w:rFonts w:ascii="Times New Roman" w:hAnsi="Times New Roman"/>
          <w:sz w:val="24"/>
          <w:szCs w:val="24"/>
        </w:rPr>
        <w:t xml:space="preserve"> No Member shall have any obligation to contribute capital in connection with any winding up (beyond unpaid contributions duly required under Sections 6.1 and 6.2),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15 — AMENDMENTS; CONSENTS</w:t>
      </w:r>
    </w:p>
    <w:p>
      <w:pPr>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the Manager, except that an amendment that would alter the rights or obligations of any Member under this Agreement requires the signature of every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widowControl/>
        <w:spacing w:before="240" w:after="200"/>
      </w:pPr>
      <w:r>
        <w:rPr>
          <w:rFonts w:ascii="Times New Roman" w:hAnsi="Times New Roman"/>
          <w:b/>
          <w:sz w:val="26"/>
          <w:szCs w:val="26"/>
        </w:rPr>
        <w:t xml:space="preserve">ARTICLE 16 — MISCELLANEOUS</w:t>
      </w:r>
    </w:p>
    <w:p>
      <w:pPr>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the Manager,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widowControl/>
        <w:spacing w:after="160"/>
        <w:jc w:val="both"/>
      </w:pPr>
      <w:r>
        <w:rPr>
          <w:rFonts w:ascii="Times New Roman" w:hAnsi="Times New Roman"/>
          <w:b/>
          <w:sz w:val="24"/>
          <w:szCs w:val="24"/>
        </w:rPr>
        <w:t xml:space="preserve">MEMBERS: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b/>
          <w:sz w:val="24"/>
          <w:szCs w:val="24"/>
        </w:rPr>
        <w:t xml:space="preserve">ACKNOWLEDGED AND AGREED BY MANAGER:</w:t>
      </w:r>
      <w:r>
        <w:rPr>
          <w:rFonts w:ascii="Times New Roman" w:hAnsi="Times New Roman"/>
          <w:b/>
          <w:sz w:val="24"/>
          <w:szCs w:val="24"/>
        </w:rPr>
        <w:t xml:space="preserve">ACKNOWLEDGED AND AGREED BY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[MANAGER NAME], Manager</w:t>
      </w:r>
    </w:p>
    <w:p>
      <w:pPr>
        <w:pageBreakBefore/>
        <w:keepNext/>
        <w:widowControl/>
        <w:spacing w:before="240" w:after="200"/>
      </w:pPr>
      <w:r>
        <w:rPr>
          <w:rFonts w:ascii="Times New Roman" w:hAnsi="Times New Roman"/>
          <w:b/>
          <w:sz w:val="26"/>
          <w:szCs w:val="26"/>
        </w:rPr>
        <w:t xml:space="preserve">EXHIBIT A — MEMBERS; PERCENTAGE INTERESTS; CONTRIBUTIONS; TOD DESIGNATIONS</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as [HOLDING] | [MEMBER ADDRESS] | [MEMBER SHARE] | [MEMBER CONTRIBUTION] | [MEMBER DATE] |</w:t>
      </w:r>
    </w:p>
    <w:p>
      <w:pPr>
        <w:widowControl/>
        <w:spacing w:after="160"/>
        <w:jc w:val="both"/>
      </w:pPr>
      <w:r>
        <w:rPr>
          <w:rFonts w:ascii="Times New Roman" w:hAnsi="Times New Roman"/>
          <w:sz w:val="24"/>
          <w:szCs w:val="24"/>
        </w:rPr>
        <w:t xml:space="preserve">| </w:t>
      </w:r>
      <w:r>
        <w:rPr>
          <w:rFonts w:ascii="Times New Roman" w:hAnsi="Times New Roman"/>
          <w:b/>
          <w:sz w:val="24"/>
          <w:szCs w:val="24"/>
        </w:rPr>
        <w:t xml:space="preserve">Total</w:t>
      </w:r>
      <w:r>
        <w:rPr>
          <w:rFonts w:ascii="Times New Roman" w:hAnsi="Times New Roman"/>
          <w:sz w:val="24"/>
          <w:szCs w:val="24"/>
        </w:rPr>
        <w:t xml:space="preserve"> | | </w:t>
      </w:r>
      <w:r>
        <w:rPr>
          <w:rFonts w:ascii="Times New Roman" w:hAnsi="Times New Roman"/>
          <w:b/>
          <w:sz w:val="24"/>
          <w:szCs w:val="24"/>
        </w:rPr>
        <w:t xml:space="preserve">100%</w:t>
      </w:r>
      <w:r>
        <w:rPr>
          <w:rFonts w:ascii="Times New Roman" w:hAnsi="Times New Roman"/>
          <w:sz w:val="24"/>
          <w:szCs w:val="24"/>
        </w:rPr>
        <w:t xml:space="preserve"> | | |</w:t>
      </w:r>
    </w:p>
    <w:p>
      <w:pPr>
        <w:keepNext/>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 [MEMBER TOD] |</w:t>
      </w:r>
    </w:p>
    <w:p>
      <w:pPr>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its Manager:</w:t>
      </w:r>
      <w:r>
        <w:rPr>
          <w:rFonts w:ascii="Times New Roman" w:hAnsi="Times New Roman"/>
          <w:b/>
          <w:sz w:val="24"/>
          <w:szCs w:val="24"/>
        </w:rPr>
        <w:t xml:space="preserve">Adopted effective [DATE] by the Company, acting through its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Protected Series Manager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(Manager-Managed / S Corporation), v1 draft. Statutory citations verified against Online Sunshine on August 3, 2026: ss. 605.2103, 605.2107, 605.2201, 605.2202, 605.2301, 605.2401, 605.2501, 605.2604, 605.0502, 605.0503, 605.04091, 48.062, 711.50–711.512, Fla. Stat.; 11 U.S.C. §365; In re Soderstrom, 484 B.R. 874 (M.D. Fla. 2013).</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