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bankruptcy, or deadlock articles,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(contribution records, not capital accounts, in the S corporation forms),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Every form except the single-owner member-managed one asks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