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  </w:t>
      </w: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or fractions of the whole, as set forth on Exhibit A;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articles of protected series dissolution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taken without the approval Section 5.4 requires;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acts without the approval Section 5.4 requires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a statement of authority to be filed with the Department for the Company or the relevant Protected Series under s. 605.0302, Florida Statutes, stating the authority, or the limitations on the authority, of the Manager, of any Protected Series Manager,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The Members acknowledge that this Agreement imposes continuing managerial and governance obligations and is intended to be an executory contract. Under 11 U.S.C. § 365(c)(1) and applicable Florida law (including Chapter 605 and this Agreement), a trustee or debtor in possession may not assume or assign a debtor Member’s governance or management rights, or cause a substitute to be admitted as a Member, without the prior written consent of the other Members. Nothing in this Section limits the estate’s interest in a Member’s transferable (economic) interest to the extent permitted by applicable law.</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account balances;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as [HOLDING]</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(effective at the death of the last surviving spouse)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in this form: ss. 48.062, 605.0102, 605.0302, 605.0502, 605.0503, 605.0702, 605.2101, 605.2103, 605.2107, 605.2201, 605.2301, 605.2302, 605.2303, 605.2304, 605.2401, 605.2602, 605.2605, 605.2607, 605.2802, 605.04074, 605.04091, 711.50, 711.501, 711.512, Fla. Stat.; 11 U.S.C. §365; In re Soderstrom, 484 B.R. 874 (M.D. Fla. 2013). Internal Revenue Code sections: 704, 754, 6221, 6223, 6226.</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