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Missing records can leave an asset non-associated; the default rule does not replace the identifying, acquisition, and transfer information the statute requires.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Owner's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The forms handle voting and creditor protection differently, and the single-member form is not built for two owners. A disregarded company ordinarily becomes a partnership for federal income-tax purposes when a second owner is admitted. An existing S election does not end merely because a second eligible owner joins.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separate company manager: the members manage directly, and in the member-managed forms with more than one owner, one of them is designated Administrative Member under §5.8 to handle ministerial tasks.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eligible under the applicable form: the professional LLC forms require eligibility under Chapter 621, and the S corporation forms also require an eligible S corporation shareholder (§9.3(b)). The owner making the designation must be an individual.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describes the members' continuing obligations — capital calls (if §6.2 is included), participation in governance, noncompetition (if Alternative A is selected), confidentiality, and non-disparagement — and states that the agreement is intended to be an executory contract. Section 11.2 requires the other members' prior written consent before a bankruptcy trustee or debtor in possession may assume or assign a debtor-member's governance or management rights, or cause a substitute to be admitted as a member, under 11 U.S.C. §365(c)(1) and applicable Florida law. The section distinguishes those rights from the member's transferable economic interest: it does not limit the estate's interest in those economic rights to the extent permitted by applicable law.</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