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Single Member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Company has elected, or intends to elect, to be classified as an association taxable as a corporation and to be treated as an S corporation for federal income tax purposes.</w:t>
      </w:r>
    </w:p>
    <w:p>
      <w:pPr>
        <w:widowControl/>
        <w:spacing w:after="160"/>
        <w:jc w:val="both"/>
      </w:pPr>
      <w:r>
        <w:rPr>
          <w:rFonts w:ascii="Times New Roman" w:hAnsi="Times New Roman"/>
          <w:sz w:val="24"/>
          <w:szCs w:val="24"/>
        </w:rPr>
        <w:t xml:space="preserve">D.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  </w:t>
      </w:r>
      <w:r>
        <w:rPr>
          <w:rFonts w:ascii="Times New Roman" w:hAnsi="Times New Roman"/>
          <w:b/>
          <w:sz w:val="24"/>
          <w:szCs w:val="24"/>
        </w:rPr>
        <w:t xml:space="preserve">Professional companies only.</w:t>
      </w:r>
      <w:r>
        <w:rPr>
          <w:rFonts w:ascii="Times New Roman" w:hAnsi="Times New Roman"/>
          <w:sz w:val="24"/>
          <w:szCs w:val="24"/>
        </w:rPr>
        <w:t xml:space="preserve"> Notwithstanding any other provision of this Agreement or any Series Exhibit, if the Company is organized as a professional limited liability company under Chapter 621, Florida Statutes, the Company and each Protected Series shall engage only in the professional services for which the Company was organized, together with investments and ownership of property permitted by s. 621.08. No Transfer of a Membership Interest or admission as a Member, including through a transfer-on-death designation, a permitted family Transfer, bankruptcy, or continuation after the last Member ceases to be a Member, is permitted unless the recipient is a professional corporation, professional limited liability company, or individual, each licensed or otherwise legally authorized to render the same specific professional services as those for which the Company was organized, as required by ss. 621.09(2) and 621.11(2). These requirements apply in addition to every other transfer and admission requirement of this Agreement, including any applicable S corporation shareholder eligibility requirement.</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articles of dissolution of the Company, articles of protected series dissolution, and, after winding up a Protected Series, statements of designation cancellation,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"Code"</w:t>
      </w:r>
      <w:r>
        <w:rPr>
          <w:rFonts w:ascii="Times New Roman" w:hAnsi="Times New Roman"/>
          <w:sz w:val="24"/>
          <w:szCs w:val="24"/>
        </w:rPr>
        <w:t xml:space="preserve"> means the Internal Revenue Code of 1986, as amended, and the Treasury Regulations promulgated under it.</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2.12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2.13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2.14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The Company has a single class of ownership; no certificates shall be issued unless the Manager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Subject to Section 9.3(b), the Member, if an individual, may designate any person or entity as a beneficiary. A designation may name a backup beneficiary to take if the first beneficiary does not survive the Member.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4.7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4.8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Manager continues in office with the authority stated in this Agreement, and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written consent of the Member:</w:t>
      </w:r>
    </w:p>
    <w:p>
      <w:pPr>
        <w:widowControl/>
        <w:spacing w:after="160"/>
        <w:jc w:val="both"/>
      </w:pPr>
      <w:r>
        <w:rPr>
          <w:rFonts w:ascii="Times New Roman" w:hAnsi="Times New Roman"/>
          <w:sz w:val="24"/>
          <w:szCs w:val="24"/>
        </w:rPr>
        <w:t xml:space="preserve">(a) sell, exchange, or otherwise dispose of all or substantially all of the Associated Assets of the Company or of any Protected Series, other than in the ordinary course of business;</w:t>
      </w:r>
    </w:p>
    <w:p>
      <w:pPr>
        <w:widowControl/>
        <w:spacing w:after="160"/>
        <w:jc w:val="both"/>
      </w:pPr>
      <w:r>
        <w:rPr>
          <w:rFonts w:ascii="Times New Roman" w:hAnsi="Times New Roman"/>
          <w:sz w:val="24"/>
          <w:szCs w:val="24"/>
        </w:rPr>
        <w:t xml:space="preserve">(b) file, amend, or cancel a statement of authority under s. 605.0302, Florida Statutes, or record a certified copy of one; or</w:t>
      </w:r>
    </w:p>
    <w:p>
      <w:pPr>
        <w:widowControl/>
        <w:spacing w:after="160"/>
        <w:jc w:val="both"/>
      </w:pPr>
      <w:r>
        <w:rPr>
          <w:rFonts w:ascii="Times New Roman" w:hAnsi="Times New Roman"/>
          <w:sz w:val="24"/>
          <w:szCs w:val="24"/>
        </w:rPr>
        <w:t xml:space="preserve">(c) make, change, or revoke any election under the Code affecting the classification of the Company or of any Protected Series.</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taken without the approval Section 5.4 requires;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acts without the approval Section 5.4 requires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the Member required by Section 5.4(b), the Manager may cause a statement of authority to be filed with the Department for the Company or the relevant Protected Series under s. 605.0302, Florida Statutes, stating the authority, or the limitations on the authority, of the Manager, of any Protected Series Manager, or of any person holding a specified position, to transfer or encumber real property held in the name of the entity identified in the statement, and may cause a certified copy of that statement to be recorded in the official records of any county in which the real property is located. A statement concerning real property held in the name of the Company shall identify the Company as the entity whose authority is stated. A statement concerning real property held in the name of a Protected Series shall be filed for and identify that Protected Series as the entity whose authority is stated.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 A loan made under this Section shall be documented as indebtedness and does not create a second class of ownership.</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The records of the Company that the Member may inspect include the records maintained under this Article for every Protected Series.</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The Member shall execute the consents and other instruments (including IRS Form 2553) necessary or appropriate to make and maintain the election, and no election shall be revoked without the Member's written consent.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if necessary or required, and shall deliver to the Member, after the end of each fiscal year, the information (including Schedule K-1) necessary for the Member's returns.</w:t>
      </w:r>
    </w:p>
    <w:p>
      <w:pPr>
        <w:keepNext/>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w:t>
      </w:r>
    </w:p>
    <w:p>
      <w:pPr>
        <w:widowControl/>
        <w:spacing w:after="160"/>
        <w:jc w:val="both"/>
      </w:pPr>
      <w:r>
        <w:rPr>
          <w:rFonts w:ascii="Times New Roman" w:hAnsi="Times New Roman"/>
          <w:sz w:val="24"/>
          <w:szCs w:val="24"/>
        </w:rPr>
        <w:t xml:space="preserve">(a) no Transfer of all or any part of the Membership Interest, or of any transferable interest, may be made to any person who is not an eligible S corporation shareholder under section 1361 of the Code, or that would cause the number of shareholders to exceed the limit of that section, and any purported Transfer in violation of this clause is null and void ab initio and shall be given no force or effect for any purpose;</w:t>
      </w:r>
    </w:p>
    <w:p>
      <w:pPr>
        <w:widowControl/>
        <w:spacing w:after="160"/>
        <w:jc w:val="both"/>
      </w:pPr>
      <w:r>
        <w:rPr>
          <w:rFonts w:ascii="Times New Roman" w:hAnsi="Times New Roman"/>
          <w:sz w:val="24"/>
          <w:szCs w:val="24"/>
        </w:rPr>
        <w:t xml:space="preserve">(b) a TOD designation under Section 4.6 is effective only in favor of a beneficiary that is an eligible S corporation shareholder under section 1361 of the Code, and a designation in favor of any other person is null and void ab initio and shall be given no force or effect for any purpose;</w:t>
      </w:r>
    </w:p>
    <w:p>
      <w:pPr>
        <w:widowControl/>
        <w:spacing w:after="160"/>
        <w:jc w:val="both"/>
      </w:pPr>
      <w:r>
        <w:rPr>
          <w:rFonts w:ascii="Times New Roman" w:hAnsi="Times New Roman"/>
          <w:sz w:val="24"/>
          <w:szCs w:val="24"/>
        </w:rPr>
        <w:t xml:space="preserve">(c) no additional member may be admitted except as Section 10.1 permits; and</w:t>
      </w:r>
    </w:p>
    <w:p>
      <w:pPr>
        <w:widowControl/>
        <w:spacing w:after="160"/>
        <w:jc w:val="both"/>
      </w:pPr>
      <w:r>
        <w:rPr>
          <w:rFonts w:ascii="Times New Roman" w:hAnsi="Times New Roman"/>
          <w:sz w:val="24"/>
          <w:szCs w:val="24"/>
        </w:rPr>
        <w:t xml:space="preserve">(d) no Protected Series may be established, and no ownership interest in the Company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 that the Company qualify at all times as a small business corporation eligible for a valid election under section 1362 of the Code, that the election be and remain in effect, and that this Agreement, each Series Exhibit, and every other agreement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relating to the Company or any Protected Series that would (i) cause the Company to fail to qualify as a small business corporation, (ii) cause the Company to have more than one class of ownership,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Neither the Member nor the Manager,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A single class of ownership in all events.</w:t>
      </w:r>
      <w:r>
        <w:rPr>
          <w:rFonts w:ascii="Times New Roman" w:hAnsi="Times New Roman"/>
          <w:sz w:val="24"/>
          <w:szCs w:val="24"/>
        </w:rPr>
        <w:t xml:space="preserve"> Notwithstanding any other provision of this Agreement or of any Series Exhibit, the Company shall at all times have a single class of ownership, and no distribution, allocation, or other act shall be made or taken that would cause any ownership interest in the Company to confer other than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 and the Manager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upon the admitted person's delivery of a signed agreement to be bound by this Agreement, and only if that person is an eligible S corporation shareholder under section 1361 of the Code and the admission would not cause the number of shareholders to exceed the limit of that section.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as of the Effective Date.</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widowControl/>
        <w:spacing w:after="160"/>
        <w:jc w:val="both"/>
      </w:pPr>
      <w:r>
        <w:rPr>
          <w:rFonts w:ascii="Times New Roman" w:hAnsi="Times New Roman"/>
          <w:sz w:val="24"/>
          <w:szCs w:val="24"/>
        </w:rPr>
        <w:t xml:space="preserve">Date: _____________________________[MEMBER NAME]</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 of ownership)</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TO]</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that beneficiary does not survive the Member, to </w:t>
      </w:r>
      <w:r>
        <w:rPr>
          <w:rFonts w:ascii="Times New Roman" w:hAnsi="Times New Roman"/>
          <w:b/>
          <w:sz w:val="24"/>
          <w:szCs w:val="24"/>
        </w:rPr>
        <w:t xml:space="preserve">[TOD BACKUP NAME(S)]</w:t>
      </w:r>
      <w:r>
        <w:rPr>
          <w:rFonts w:ascii="Times New Roman" w:hAnsi="Times New Roman"/>
          <w:sz w:val="24"/>
          <w:szCs w:val="24"/>
        </w:rPr>
        <w:t xml:space="preserve">, or if none is designated or the designation fails, the Membership Interest passes as provided by law. A designation is effective only in favor of a beneficiary that is an eligible S corporation shareholder (Section 9.3(b)).</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widowControl/>
        <w:spacing w:after="160"/>
        <w:jc w:val="both"/>
      </w:pPr>
      <w:r>
        <w:rPr>
          <w:rFonts w:ascii="Times New Roman" w:hAnsi="Times New Roman"/>
          <w:sz w:val="24"/>
          <w:szCs w:val="24"/>
        </w:rPr>
        <w:t xml:space="preserve">[ADOPTER NAME], Protected Series Manager</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Single Member / S Corporation), v1 draft. Statutory citations in this form: ss. 48.062, 605.0102, 605.0302, 605.0602, 605.2101, 605.2103, 605.2107, 605.2201, 605.2301, 605.2302, 605.2303, 605.2304, 605.2401, 605.2602, 605.2605, 605.2607, 605.2802, 605.04074, 711.50, 711.501, 711.512, Fla. Stat. Internal Revenue Code sections: 1361, 1362, 1378.</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