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1.10A Membership Interest.</w:t>
      </w:r>
      <w:r>
        <w:rPr>
          <w:rFonts w:ascii="Times New Roman" w:hAnsi="Times New Roman"/>
          <w:sz w:val="24"/>
          <w:szCs w:val="24"/>
        </w:rPr>
        <w:t xml:space="preserve"> The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The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which are not varied by this Agreement.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Lines/>
        <w:widowControl/>
        <w:spacing w:after="160"/>
        <w:jc w:val="both"/>
      </w:pPr>
      <w:r>
        <w:rPr>
          <w:rFonts w:ascii="Times New Roman" w:hAnsi="Times New Roman"/>
          <w:sz w:val="24"/>
          <w:szCs w:val="24"/>
        </w:rP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