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held through a representative, nominee, or similar arrangement, the Member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the Member or the Manager other than under a documented arrangement permitted by paragraph (a).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