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206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sz w:val="24"/>
          <w:szCs w:val="24"/>
        </w:rPr>
        <w:t xml:space="preserve">1.9 Filings.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"Administrative Member"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sz w:val="24"/>
          <w:szCs w:val="24"/>
        </w:rPr>
        <w:t xml:space="preserve">2.3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2.4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2.5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2.6 "Company" means [COMPANY NAME], LLC.</w:t>
      </w:r>
    </w:p>
    <w:p>
      <w:pPr>
        <w:keepLines/>
        <w:widowControl/>
        <w:spacing w:after="160"/>
        <w:jc w:val="both"/>
      </w:pPr>
      <w:r>
        <w:rPr>
          <w:rFonts w:ascii="Times New Roman" w:hAnsi="Times New Roman"/>
          <w:sz w:val="24"/>
          <w:szCs w:val="24"/>
        </w:rPr>
        <w:t xml:space="preserve">2.7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2.8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2.9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2.10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2.11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2.12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2.13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2.14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2.15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2.16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b/>
          <w:sz w:val="24"/>
          <w:szCs w:val="24"/>
        </w:rPr>
        <w:t xml:space="preserve">ARTICLE 5 — MANAGEMENT BY THE MEMBERS</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sz w:val="24"/>
          <w:szCs w:val="24"/>
        </w:rPr>
        <w:t xml:space="preserve">5.3 Voting; Decisions.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sz w:val="24"/>
          <w:szCs w:val="24"/>
        </w:rPr>
        <w:t xml:space="preserve">5.4 Authority to Act; Limits on Authority.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transfer, re-associate, or re-title any asset between the Company and a Protected Series or between Protected Series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5.6 Standard of Conduct; Exculpation.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5.7 Indemnification.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sz w:val="24"/>
          <w:szCs w:val="24"/>
        </w:rPr>
        <w:t xml:space="preserve">5.9 Statement of Authority.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sz w:val="24"/>
          <w:szCs w:val="24"/>
        </w:rPr>
        <w:t xml:space="preserve">5.10 Compensation; Reimbursement; Shared Expenses.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Administrative Member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a Majority in Interest may cause distributions to be made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Administrative Member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Administrative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Administrative Member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Administrative Member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strike/>
          <w:color w:val="C00000"/>
          <w:sz w:val="24"/>
          <w:szCs w:val="24"/>
        </w:rPr>
        <w:t xml:space="preserve">a Majority in Interest designates) shall serve as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A Majority in Interest may make, change, or revoke any tax election for the Company or any Protected Series (including an election under section 754 of the Code) that it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a Majority in Interest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a Majority in Interest.</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Company, as protected-series manager (s. 605.2304(2), Fla. Stat.), acting through a Majority in Interest of the Members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(Member-Managed, Multiple Members </w:t>
      </w:r>
      <w:r>
        <w:rPr>
          <w:rFonts w:ascii="Times New Roman" w:hAnsi="Times New Roman"/>
          <w:color w:val="0645AD"/>
          <w:u w:val="single"/>
          <w:sz w:val="24"/>
          <w:szCs w:val="24"/>
        </w:rPr>
        <w:t xml:space="preserve">(Member-Managed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