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2.14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2.15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widowControl/>
        <w:spacing w:after="160"/>
        <w:jc w:val="both"/>
      </w:pPr>
      <w:r>
        <w:rPr>
          <w:rFonts w:ascii="Times New Roman" w:hAnsi="Times New Roman"/>
          <w:sz w:val="24"/>
          <w:szCs w:val="24"/>
        </w:rPr>
        <w:t xml:space="preserve">(b)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or</w:t>
      </w:r>
    </w:p>
    <w:p>
      <w:pPr>
        <w:widowControl/>
        <w:spacing w:after="160"/>
        <w:jc w:val="both"/>
      </w:pPr>
      <w:r>
        <w:rPr>
          <w:rFonts w:ascii="Times New Roman" w:hAnsi="Times New Roman"/>
          <w:sz w:val="24"/>
          <w:szCs w:val="24"/>
        </w:rPr>
        <w:t xml:space="preserve">(c) file, amend, or cancel a statement of authority under s. 605.0302, Florida Statutes, or record a certified copy of one.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5.4(c),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b/>
          <w:sz w:val="24"/>
          <w:szCs w:val="24"/>
        </w:rPr>
        <w:t xml:space="preserve">ACKNOWLEDGED AND AGREED BY MANAGER:</w:t>
      </w:r>
    </w:p>
    <w:p>
      <w:pPr>
        <w:widowControl/>
        <w:spacing w:after="160"/>
        <w:jc w:val="both"/>
      </w:pPr>
      <w:r>
        <w:rPr>
          <w:rFonts w:ascii="Times New Roman" w:hAnsi="Times New Roman"/>
          <w:sz w:val="24"/>
          <w:szCs w:val="24"/>
        </w:rPr>
        <w:t xml:space="preserve">[MANAGER SIGNATURE BLOCKS]</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