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except as limited by its Series Exhibit, is [COMPANY PURPOSE].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 — not by the form of its title. Subject to that requirement:</w:t>
      </w:r>
    </w:p>
    <w:p>
      <w:pPr>
        <w:keepLines/>
        <w:widowControl/>
        <w:spacing w:after="160"/>
        <w:jc w:val="both"/>
      </w:pPr>
      <w:r>
        <w:rPr>
          <w:rFonts w:ascii="Times New Roman" w:hAnsi="Times New Roman"/>
          <w:sz w:val="24"/>
          <w:szCs w:val="24"/>
        </w:rPr>
        <w:t xml:space="preserve">(a) An Associated Asset may be held directly, or indirectly through a representative, nominee, or similar arrangement, as permitted by s. 605.2301(5), Florida Statutes. Any such indirect arrangement shall be documented in the records maintained under Article 8, identifying the holder, the Protected Series or the Company for which the asset is held, and the date the arrangement began.</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sz w:val="24"/>
          <w:szCs w:val="24"/>
        </w:rPr>
        <w:t xml:space="preserve">(c) Title to an interest in real property should be acquired, held, and conveyed in the name of the Protected Series or the Company that owns it. A recorded instrument naming the owner is conclusive of the signer's authority in favor of a person who gives value without knowledge of a lack of authority, and itself constitutes a record that the interest is an Associated Asset (ss. 605.2301(2)(b) and 605.2301(3)(b), Florida Statutes). Where an interest in real property is instead held through a nominee, the Member shall cause the arrangement to be documented under Article 8 before the acquisition is complete.</w:t>
      </w:r>
    </w:p>
    <w:p>
      <w:pPr>
        <w:keepLines/>
        <w:widowControl/>
        <w:spacing w:after="160"/>
        <w:jc w:val="both"/>
      </w:pPr>
      <w:r>
        <w:rPr>
          <w:rFonts w:ascii="Times New Roman" w:hAnsi="Times New Roman"/>
          <w:sz w:val="24"/>
          <w:szCs w:val="24"/>
        </w:rPr>
        <w:t xml:space="preserve">(d) No property of the Company or of any Protected Series shall be held in the individual name of the Member or the Manager other than under a documented arrangement permitted by paragraph (a). The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The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the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by the Member, death, or incapacity; the Member may remove and replace the Manager, and shall fill any vacancy,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which are not varied by this Agreement.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the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transfer, re-association, or re-titling of an asset between the Company and a Protected Series or between Protected Series (an "Inter-Series Transfer")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Each acquisition or conveyance of an interest in real property by a Protected Series or the Company should be made by an instrument naming the acquiring or conveying Protected Series (by its full statutory name) or the Company, as applicable, and recorded where required; a properly recorded instrument then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this Article and under Section 1.10(a), and the association of the interest shall be established by those records.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The Member may inspect and copy the records described in this Article at reasonable times, consistent with the Act.</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 The classification of the Company and of each Protected Series shall in all events be determined under federal tax law as applied to each of them, and nothing in this Agreement constitutes tax advice or a guarantee of any particular tax treatment.</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Lines/>
        <w:widowControl/>
        <w:spacing w:after="160"/>
        <w:jc w:val="both"/>
      </w:pPr>
      <w:r>
        <w:rPr>
          <w:rFonts w:ascii="Times New Roman" w:hAnsi="Times New Roman"/>
          <w:b/>
          <w:sz w:val="24"/>
          <w:szCs w:val="24"/>
        </w:rPr>
        <w:t xml:space="preserve">9.5 S Corporation Election.</w:t>
      </w:r>
      <w:r>
        <w:rPr>
          <w:rFonts w:ascii="Times New Roman" w:hAnsi="Times New Roman"/>
          <w:sz w:val="24"/>
          <w:szCs w:val="24"/>
        </w:rPr>
        <w:t xml:space="preserve"> The Member may cause the Company to elect classification as an association taxable as a corporation and S corporation status under section 1362 of the Code. Before or promptly upon making any such election, the Member shall amend and restate this Agreement in the Company's S corporation form of operating agreement, under which all allocations and distributions are made strictly pro rata and every ownership interest confers identical rights to distributions and liquidation proceeds.</w:t>
      </w:r>
    </w:p>
    <w:p>
      <w:pPr>
        <w:keepLines/>
        <w:widowControl/>
        <w:spacing w:after="160"/>
        <w:jc w:val="both"/>
      </w:pPr>
      <w:r>
        <w:rPr>
          <w:rFonts w:ascii="Times New Roman" w:hAnsi="Times New Roman"/>
          <w:sz w:val="24"/>
          <w:szCs w:val="24"/>
        </w:rP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and any member may be associated with any Protected Series,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Successor Agreement.</w:t>
      </w:r>
      <w:r>
        <w:rPr>
          <w:rFonts w:ascii="Times New Roman" w:hAnsi="Times New Roman"/>
          <w:sz w:val="24"/>
          <w:szCs w:val="24"/>
        </w:rPr>
        <w:t xml:space="preserve"> The parties acknowledge that this Agreement is drafted for a Company having a single member and intended disregarded-entity tax treatment. Prior to or promptly upon the admission of an additional member (or the association of any additional person with any Protected Series), the members shall amend and restate this Agreement in a form appropriate for multiple members — including provisions for percentages, capital accounts, allocations, and partnership tax administration — and until such amendment and restatement, the default provisions of the Act shall govern the matters this Agreement does not address for multiple members.</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