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except as limited by its Series Exhibit, is [COMPANY PURPOSE].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 — not by the form of its title. Subject to that requirement:</w:t>
      </w:r>
    </w:p>
    <w:p>
      <w:pPr>
        <w:keepLines/>
        <w:widowControl/>
        <w:spacing w:after="160"/>
        <w:jc w:val="both"/>
      </w:pPr>
      <w:r>
        <w:rPr>
          <w:rFonts w:ascii="Times New Roman" w:hAnsi="Times New Roman"/>
          <w:sz w:val="24"/>
          <w:szCs w:val="24"/>
        </w:rPr>
        <w:t xml:space="preserve">(a) An Associated Asset may be held directly, or indirectly through a representative, nominee, or similar arrangement, as permitted by s. 605.2301(5), Florida Statutes. Any such indirect arrangement shall be documented in the records maintained under Article 8, identifying the holder, the Protected Series or the Company for which the asset is held, and the date the arrangement began.</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sz w:val="24"/>
          <w:szCs w:val="24"/>
        </w:rPr>
        <w:t xml:space="preserve">(c) Title to an interest in real property should be acquired, held, and conveyed in the name of the Protected Series or the Company that owns it. A recorded instrument naming the owner is conclusive of the signer's authority in favor of a person who gives value without knowledge of a lack of authority, and itself constitutes a record that the interest is an Associated Asset (ss. 605.2301(2)(b) and 605.2301(3)(b), Florida Statutes). Where an interest in real property is instead held through a nominee, the Members shall cause the arrangement to be documented under Article 8 before the acquisition is complete.</w:t>
      </w:r>
    </w:p>
    <w:p>
      <w:pPr>
        <w:keepLines/>
        <w:widowControl/>
        <w:spacing w:after="160"/>
        <w:jc w:val="both"/>
      </w:pPr>
      <w:r>
        <w:rPr>
          <w:rFonts w:ascii="Times New Roman" w:hAnsi="Times New Roman"/>
          <w:sz w:val="24"/>
          <w:szCs w:val="24"/>
        </w:rPr>
        <w:t xml:space="preserve">(d) No property of the Company or of any Protected Series shall be held in the individual name of any Member other than under a documented arrangement permitted by paragraph (a). Each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Managing Members"</w:t>
      </w:r>
      <w:r>
        <w:rPr>
          <w:rFonts w:ascii="Times New Roman" w:hAnsi="Times New Roman"/>
          <w:sz w:val="24"/>
          <w:szCs w:val="24"/>
        </w:rPr>
        <w:t xml:space="preserve"> means, with respect to a Protected Series, the Members acting for the Company as the protected-series manager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with separate sub-accounts reflecting the Member's capital in the Company and in each Protected Series with which the Member is associated.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Each acquisition or conveyance of an interest in real property by a Protected Series or the Company should be made by an instrument naming the acquiring or conveying Protected Series (by its full statutory name) or the Company, as applicable, and recorded where required; a properly recorded instrument then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this Article and under Section 1.10(a), and the association of the interest shall be established by those records.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