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consistently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all distributions, from whatever source, shall be made to the Members strictly pro rata in accordance with their Percentage Interests, and every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The classification of the Company and of each Protected Series shall in all events be determined under federal tax law as applied to each of them, and nothing in this Agreement constitutes tax advice or a guarantee of any particular tax treatment.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4.12 is effective only in favor of a beneficiary that is an eligible S corporation shareholder; and (c) no Protected Series may be established, and no interest issued or adjusted, except consistently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consistently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