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Single Member)</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 is the sole member of the Company, and intends by this Agreement to set forth the terms governing the Company, each Protected Series designated by the Company, and the relations among the Company, each Protected Series, the Member, and the Manager.</w:t>
      </w:r>
    </w:p>
    <w:p>
      <w:pPr>
        <w:keepNext/>
        <w:keepLines/>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comply with s. 605.2202, Florida Statutes: it shall begin with the full name of the Company and shall contain the phrase "protected series" or the abbreviation "P.S." or "PS."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1.10A Membership Interest.</w:t>
      </w:r>
      <w:r>
        <w:rPr>
          <w:rFonts w:ascii="Times New Roman" w:hAnsi="Times New Roman"/>
          <w:sz w:val="24"/>
          <w:szCs w:val="24"/>
        </w:rPr>
        <w:t xml:space="preserve"> The Member's interest in the Company is personal property for all purposes.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The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1.12 No Payments of Individual Obligations.</w:t>
      </w:r>
      <w:r>
        <w:rPr>
          <w:rFonts w:ascii="Times New Roman" w:hAnsi="Times New Roman"/>
          <w:sz w:val="24"/>
          <w:szCs w:val="24"/>
        </w:rPr>
        <w:t xml:space="preserve"> The credit and property of the Company and of each Protected Series shall be used solely for the benefit of the Company or the applicable Protected Series, and no such property shall be transferred or encumbered for, or in payment of, any individual obligation of the Member or the Manager.</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2.8 "Member"</w:t>
      </w:r>
      <w:r>
        <w:rPr>
          <w:rFonts w:ascii="Times New Roman" w:hAnsi="Times New Roman"/>
          <w:sz w:val="24"/>
          <w:szCs w:val="24"/>
        </w:rPr>
        <w:t xml:space="preserve"> means the person identified as such on Exhibit A and any successor admitted in accordance with this Agreement.</w:t>
      </w:r>
    </w:p>
    <w:p>
      <w:pPr>
        <w:keepLines/>
        <w:widowControl/>
        <w:spacing w:after="160"/>
        <w:jc w:val="both"/>
      </w:pPr>
      <w:r>
        <w:rPr>
          <w:rFonts w:ascii="Times New Roman" w:hAnsi="Times New Roman"/>
          <w:b/>
          <w:sz w:val="24"/>
          <w:szCs w:val="24"/>
        </w:rPr>
        <w:t xml:space="preserve">2.9 "Membership Interest"</w:t>
      </w:r>
      <w:r>
        <w:rPr>
          <w:rFonts w:ascii="Times New Roman" w:hAnsi="Times New Roman"/>
          <w:sz w:val="24"/>
          <w:szCs w:val="24"/>
        </w:rPr>
        <w:t xml:space="preserve"> means the Member's entire interest in the Company, including the Member's interest in capital, profits, and distributions of the Company and of each Protected Series with which the Member is associated, and all rights of a member under the Act and this Agreement.</w:t>
      </w:r>
    </w:p>
    <w:p>
      <w:pPr>
        <w:keepLines/>
        <w:widowControl/>
        <w:spacing w:after="160"/>
        <w:jc w:val="both"/>
      </w:pPr>
      <w:r>
        <w:rPr>
          <w:rFonts w:ascii="Times New Roman" w:hAnsi="Times New Roman"/>
          <w:b/>
          <w:sz w:val="24"/>
          <w:szCs w:val="24"/>
        </w:rPr>
        <w:t xml:space="preserve">2.10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2.11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2.12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2.13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keepLines/>
        <w:widowControl/>
        <w:spacing w:after="160"/>
        <w:jc w:val="both"/>
      </w:pPr>
      <w:r>
        <w:rPr>
          <w:rFonts w:ascii="Times New Roman" w:hAnsi="Times New Roman"/>
          <w:b/>
          <w:sz w:val="24"/>
          <w:szCs w:val="24"/>
        </w:rPr>
        <w:t xml:space="preserve">2.14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all members of the Company (which, while the Member is the sole member, means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and the Manager shall adopt a Series Exhibit for the new Protected Series. The Manager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the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The Member and the Manager are not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THE MEMBER; MEMBERSHIP INTEREST</w:t>
      </w:r>
    </w:p>
    <w:p>
      <w:pPr>
        <w:keepLines/>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Membership interests are of a single class and are expressed as percentages; no certificates shall be issued unless the Manager determines otherwise.</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keepLines/>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keepLines/>
        <w:widowControl/>
        <w:spacing w:after="160"/>
        <w:jc w:val="both"/>
      </w:pPr>
      <w:r>
        <w:rPr>
          <w:rFonts w:ascii="Times New Roman" w:hAnsi="Times New Roman"/>
          <w:b/>
          <w:sz w:val="24"/>
          <w:szCs w:val="24"/>
        </w:rPr>
        <w:t xml:space="preserve">4.4 No Agency by Status.</w:t>
      </w:r>
      <w:r>
        <w:rPr>
          <w:rFonts w:ascii="Times New Roman" w:hAnsi="Times New Roman"/>
          <w:sz w:val="24"/>
          <w:szCs w:val="24"/>
        </w:rPr>
        <w:t xml:space="preserve"> The Member is not an agent of the Company or of any Protected Series solely by reason of being a member.</w:t>
      </w:r>
    </w:p>
    <w:p>
      <w:pPr>
        <w:keepLines/>
        <w:widowControl/>
        <w:spacing w:after="160"/>
        <w:jc w:val="both"/>
      </w:pPr>
      <w:r>
        <w:rPr>
          <w:rFonts w:ascii="Times New Roman" w:hAnsi="Times New Roman"/>
          <w:b/>
          <w:sz w:val="24"/>
          <w:szCs w:val="24"/>
        </w:rPr>
        <w:t xml:space="preserve">4.5 Other Activities.</w:t>
      </w:r>
      <w:r>
        <w:rPr>
          <w:rFonts w:ascii="Times New Roman" w:hAnsi="Times New Roman"/>
          <w:sz w:val="24"/>
          <w:szCs w:val="24"/>
        </w:rPr>
        <w:t xml:space="preserve"> The Member and the Manager may engage in or possess interests in other business ventures of any nature, independently or with others, and neither the Company nor any Protected Series shall have any right in such ventures by virtue of this Agreement.</w:t>
      </w:r>
    </w:p>
    <w:p>
      <w:pPr>
        <w:keepLines/>
        <w:widowControl/>
        <w:spacing w:after="160"/>
        <w:jc w:val="both"/>
      </w:pPr>
      <w:r>
        <w:rPr>
          <w:rFonts w:ascii="Times New Roman" w:hAnsi="Times New Roman"/>
          <w:b/>
          <w:sz w:val="24"/>
          <w:szCs w:val="24"/>
        </w:rPr>
        <w:t xml:space="preserve">4.6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The Member may designate any person or entity as a beneficiary.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w:t>
      </w:r>
      <w:r>
        <w:rPr>
          <w:rFonts w:ascii="Times New Roman" w:hAnsi="Times New Roman"/>
          <w:b/>
          <w:sz w:val="24"/>
          <w:szCs w:val="24"/>
        </w:rPr>
        <w:t xml:space="preserve">[MANAGER NAME]</w:t>
      </w:r>
      <w:r>
        <w:rPr>
          <w:rFonts w:ascii="Times New Roman" w:hAnsi="Times New Roman"/>
          <w:sz w:val="24"/>
          <w:szCs w:val="24"/>
        </w:rPr>
        <w:t xml:space="preserve">. The Manager need not be a member. The Manager serves until resignation, removal by the Member, death, or incapacity; the Member may remove and replace the Manager, and shall fill any vacancy, by a signed writing delivered to the Company.</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Lines/>
        <w:widowControl/>
        <w:spacing w:after="160"/>
        <w:jc w:val="both"/>
      </w:pPr>
      <w:r>
        <w:rPr>
          <w:rFonts w:ascii="Times New Roman" w:hAnsi="Times New Roman"/>
          <w:b/>
          <w:sz w:val="24"/>
          <w:szCs w:val="24"/>
        </w:rPr>
        <w:t xml:space="preserve">5.4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protected-series managers, which are not varied by this Agreement.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5.5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5.6 Compensation; Reimbursement; Shared Expenses.</w:t>
      </w:r>
      <w:r>
        <w:rPr>
          <w:rFonts w:ascii="Times New Roman" w:hAnsi="Times New Roman"/>
          <w:sz w:val="24"/>
          <w:szCs w:val="24"/>
        </w:rPr>
        <w:t xml:space="preserve">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5.7 Statement of Authority.</w:t>
      </w:r>
      <w:r>
        <w:rPr>
          <w:rFonts w:ascii="Times New Roman" w:hAnsi="Times New Roman"/>
          <w:sz w:val="24"/>
          <w:szCs w:val="24"/>
        </w:rPr>
        <w:t xml:space="preserve">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keepLines/>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keepLines/>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DISTRIBUTIONS</w:t>
      </w:r>
    </w:p>
    <w:p>
      <w:pPr>
        <w:keepLines/>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to the Member (or, in the case of a Protected Series, to the Company).</w:t>
      </w:r>
    </w:p>
    <w:p>
      <w:pPr>
        <w:keepLines/>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w:t>
      </w:r>
      <w:r>
        <w:rPr>
          <w:rFonts w:ascii="Times New Roman" w:hAnsi="Times New Roman"/>
          <w:sz w:val="24"/>
          <w:szCs w:val="24"/>
        </w:rPr>
        <w:t xml:space="preserve">, and distributions in respect of the Company shall be made solely from the Associated Assets of the Company.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Statutory Limitations.</w:t>
      </w:r>
      <w:r>
        <w:rPr>
          <w:rFonts w:ascii="Times New Roman" w:hAnsi="Times New Roman"/>
          <w:sz w:val="24"/>
          <w:szCs w:val="24"/>
        </w:rPr>
        <w:t xml:space="preserve"> No distribution shall be made to the extent prohibited by the limitations of the Act applicable to distributions, applied separately to the Company and to each Protected Series as the Act provides.</w:t>
      </w:r>
    </w:p>
    <w:p>
      <w:pPr>
        <w:keepNext/>
        <w:keepLines/>
        <w:widowControl/>
        <w:spacing w:before="240" w:after="0"/>
      </w:pPr>
      <w:r>
        <w:rPr>
          <w:rFonts w:ascii="Times New Roman" w:hAnsi="Times New Roman"/>
          <w:b/>
          <w:sz w:val="26"/>
          <w:szCs w:val="26"/>
        </w:rPr>
        <w:t xml:space="preserve">ARTICLE 8 — RECORDS; MAINTENANCE OF THE LIABILITY SHIELDS</w:t>
      </w:r>
    </w:p>
    <w:p>
      <w:pPr>
        <w:keepLines/>
        <w:widowControl/>
        <w:spacing w:after="160"/>
        <w:jc w:val="both"/>
      </w:pPr>
      <w:r>
        <w:rPr>
          <w:rFonts w:ascii="Times New Roman" w:hAnsi="Times New Roman"/>
          <w:b/>
          <w:sz w:val="24"/>
          <w:szCs w:val="24"/>
        </w:rPr>
        <w:t xml:space="preserve">8.1 Records Covenants.</w:t>
      </w:r>
      <w:r>
        <w:rPr>
          <w:rFonts w:ascii="Times New Roman" w:hAnsi="Times New Roman"/>
          <w:sz w:val="24"/>
          <w:szCs w:val="24"/>
        </w:rPr>
        <w:t xml:space="preserve"> The Company and each Protected Series shall create and maintain records satisfying s. 605.2301, Florida Statutes, in accordance with this Article. This Article may not be varied by any Series Exhibit.</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Separate Accounts; No Commingling.</w:t>
      </w:r>
      <w:r>
        <w:rPr>
          <w:rFonts w:ascii="Times New Roman" w:hAnsi="Times New Roman"/>
          <w:sz w:val="24"/>
          <w:szCs w:val="24"/>
        </w:rPr>
        <w:t xml:space="preserve"> The Company and each Protected Series shall maintain its own deposit account or accounts, and its funds shall not be commingled with the funds of the Member, the Manager, the Company (as to a Protected Series), or any other Protected Series. All income of a Protected Series shall be deposited to its accounts, and its expenses paid from its accounts. Transfers of funds between accounts shall be made only pursuant to a documented Inter-Series Transfer, loan, contribution, or distribution.</w:t>
      </w:r>
    </w:p>
    <w:p>
      <w:pPr>
        <w:keepLines/>
        <w:widowControl/>
        <w:spacing w:after="160"/>
        <w:jc w:val="both"/>
      </w:pPr>
      <w:r>
        <w:rPr>
          <w:rFonts w:ascii="Times New Roman" w:hAnsi="Times New Roman"/>
          <w:b/>
          <w:sz w:val="24"/>
          <w:szCs w:val="24"/>
        </w:rPr>
        <w:t xml:space="preserve">8.4 Inter-Series Transfers.</w:t>
      </w:r>
      <w:r>
        <w:rPr>
          <w:rFonts w:ascii="Times New Roman" w:hAnsi="Times New Roman"/>
          <w:sz w:val="24"/>
          <w:szCs w:val="24"/>
        </w:rPr>
        <w:t xml:space="preserve"> Any transfer, re-association, or re-titling of an asset between the Company and a Protected Series or between Protected Series (an "Inter-Series Transfer") shall be documented contemporaneously by a written record stating (a) the asset transferred, (b) the transferor and transferee (the Company or the specific Protected Series), (c) the date, and (d) the consideration paid, the payor, and the payee. Inter-Series Transfers shall be made for fair value unless the transfer is a documented contribution or distribution.</w:t>
      </w:r>
    </w:p>
    <w:p>
      <w:pPr>
        <w:keepLines/>
        <w:widowControl/>
        <w:spacing w:after="160"/>
        <w:jc w:val="both"/>
      </w:pPr>
      <w:r>
        <w:rPr>
          <w:rFonts w:ascii="Times New Roman" w:hAnsi="Times New Roman"/>
          <w:b/>
          <w:sz w:val="24"/>
          <w:szCs w:val="24"/>
        </w:rPr>
        <w:t xml:space="preserve">8.5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8.5A, and the association of the interest shall be established by those records.</w:t>
      </w:r>
    </w:p>
    <w:p>
      <w:pPr>
        <w:keepLines/>
        <w:widowControl/>
        <w:spacing w:after="160"/>
        <w:jc w:val="both"/>
      </w:pPr>
      <w:r>
        <w:rPr>
          <w:rFonts w:ascii="Times New Roman" w:hAnsi="Times New Roman"/>
          <w:b/>
          <w:sz w:val="24"/>
          <w:szCs w:val="24"/>
        </w:rPr>
        <w:t xml:space="preserve">8.5A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or the Manager other than under an arrangement documented under this Section.</w:t>
      </w:r>
    </w:p>
    <w:p>
      <w:pPr>
        <w:keepLines/>
        <w:widowControl/>
        <w:spacing w:after="160"/>
        <w:jc w:val="both"/>
      </w:pPr>
      <w:r>
        <w:rPr>
          <w:rFonts w:ascii="Times New Roman" w:hAnsi="Times New Roman"/>
          <w:b/>
          <w:sz w:val="24"/>
          <w:szCs w:val="24"/>
        </w:rPr>
        <w:t xml:space="preserve">The following are prohibited and may not be varied:</w:t>
      </w:r>
      <w:r>
        <w:rPr>
          <w:rFonts w:ascii="Times New Roman" w:hAnsi="Times New Roman"/>
          <w:sz w:val="24"/>
          <w:szCs w:val="24"/>
        </w:rPr>
        <w:t xml:space="preserve"> a Protected Series may not hold an Associated Asset in the name of the Company or of another Protected Series, and the Company may not hold an Associated Asset in the name of a Protected Series (s. 605.2301(5)(a)-(b), Florida Statutes).</w:t>
      </w:r>
    </w:p>
    <w:p>
      <w:pPr>
        <w:keepLines/>
        <w:widowControl/>
        <w:spacing w:after="160"/>
        <w:jc w:val="both"/>
      </w:pPr>
      <w:r>
        <w:rPr>
          <w:rFonts w:ascii="Times New Roman" w:hAnsi="Times New Roman"/>
          <w:b/>
          <w:sz w:val="24"/>
          <w:szCs w:val="24"/>
        </w:rPr>
        <w:t xml:space="preserve">8.6 Contracts and Liabilities.</w:t>
      </w:r>
      <w:r>
        <w:rPr>
          <w:rFonts w:ascii="Times New Roman" w:hAnsi="Times New Roman"/>
          <w:sz w:val="24"/>
          <w:szCs w:val="24"/>
        </w:rPr>
        <w:t xml:space="preserve"> Each contract, account, loan, or other obligation shall be entered into in the name of, and shall identify, the Company or the specific Protected Series incurring it, and shall be recorded as an Associated Liability of the person incurring it.</w:t>
      </w:r>
    </w:p>
    <w:p>
      <w:pPr>
        <w:keepLines/>
        <w:widowControl/>
        <w:spacing w:after="160"/>
        <w:jc w:val="both"/>
      </w:pPr>
      <w:r>
        <w:rPr>
          <w:rFonts w:ascii="Times New Roman" w:hAnsi="Times New Roman"/>
          <w:b/>
          <w:sz w:val="24"/>
          <w:szCs w:val="24"/>
        </w:rPr>
        <w:t xml:space="preserve">8.7 Financial Records; Inspection.</w:t>
      </w:r>
      <w:r>
        <w:rPr>
          <w:rFonts w:ascii="Times New Roman" w:hAnsi="Times New Roman"/>
          <w:sz w:val="24"/>
          <w:szCs w:val="24"/>
        </w:rPr>
        <w:t xml:space="preserve"> Separate books of account shall be maintained for the Company and for each Protected Series, showing income, expenses, assets, liabilities, contributions, and distributions of each. The Company shall maintain at its principal office the records required by s. 605.0410(1), Florida Statutes, including its federal, state, and local income tax returns and reports for the three most recent years and its financial statements for the three most recent years, and shall maintain the corresponding tax and financial records of each Protected Series with the records of that Protected Series. The Member may inspect and copy the records described in this Article at reasonable times, consistent with the Act.</w:t>
      </w:r>
    </w:p>
    <w:p>
      <w:pPr>
        <w:keepLines/>
        <w:widowControl/>
        <w:spacing w:after="160"/>
        <w:jc w:val="both"/>
      </w:pPr>
      <w:r>
        <w:rPr>
          <w:rFonts w:ascii="Times New Roman" w:hAnsi="Times New Roman"/>
          <w:b/>
          <w:sz w:val="24"/>
          <w:szCs w:val="24"/>
        </w:rPr>
        <w:t xml:space="preserve">8.7A Exclusive Means of Moving Value.</w:t>
      </w:r>
      <w:r>
        <w:rPr>
          <w:rFonts w:ascii="Times New Roman" w:hAnsi="Times New Roman"/>
          <w:sz w:val="24"/>
          <w:szCs w:val="24"/>
        </w:rPr>
        <w:t xml:space="preserve"> Value may be moved between the Company and any Protected Series, or between Protected Series, only by an Inter-Series Transfer, a contribution, or a distribution, in each case approved as this Agreement requires and documented under this Article at the time it occurs. No other transfer, allocation, offset, netting, or informal accommodation between the Company and a Protected Series, or between Protected Series, is permitted, and any such act shall be documented and corrected under Section 8.9(d) upon discovery.</w:t>
      </w:r>
    </w:p>
    <w:p>
      <w:pPr>
        <w:keepLines/>
        <w:widowControl/>
        <w:spacing w:after="160"/>
        <w:jc w:val="both"/>
      </w:pPr>
      <w:r>
        <w:rPr>
          <w:rFonts w:ascii="Times New Roman" w:hAnsi="Times New Roman"/>
          <w:b/>
          <w:sz w:val="24"/>
          <w:szCs w:val="24"/>
        </w:rPr>
        <w:t xml:space="preserve">8.8 Annual Review.</w:t>
      </w:r>
      <w:r>
        <w:rPr>
          <w:rFonts w:ascii="Times New Roman" w:hAnsi="Times New Roman"/>
          <w:sz w:val="24"/>
          <w:szCs w:val="24"/>
        </w:rPr>
        <w:t xml:space="preserve"> At least annually, the Manager shall review the records maintained under this Article for compliance with s. 605.2301, Florida Statutes, and shall correct any deficiency promptly upon discovery. Upon completing the review, the Manager shall sign and retain with the records a short certification stating the date of the review, the period covered, that the records of the Company and of each Protected Series were reviewed, and any deficiency found and the correction made. Each certification shall be retained for so long as the Company exists.</w:t>
      </w:r>
    </w:p>
    <w:p>
      <w:pPr>
        <w:keepLines/>
        <w:widowControl/>
        <w:spacing w:after="160"/>
        <w:jc w:val="both"/>
      </w:pPr>
      <w:r>
        <w:rPr>
          <w:rFonts w:ascii="Times New Roman" w:hAnsi="Times New Roman"/>
          <w:b/>
          <w:sz w:val="24"/>
          <w:szCs w:val="24"/>
        </w:rPr>
        <w:t xml:space="preserve">8.9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Records.</w:t>
      </w:r>
      <w:r>
        <w:rPr>
          <w:rFonts w:ascii="Times New Roman" w:hAnsi="Times New Roman"/>
          <w:sz w:val="24"/>
          <w:szCs w:val="24"/>
        </w:rPr>
        <w:t xml:space="preserve"> This Agreement, each Series Exhibit, each asset schedule, and the account, titling, and transaction records maintained under this Article are records within the meaning of s. 605.2301, Florida Statutes, and may be read together, in combination, to satisfy its requirements.</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Interpretation.</w:t>
      </w:r>
      <w:r>
        <w:rPr>
          <w:rFonts w:ascii="Times New Roman" w:hAnsi="Times New Roman"/>
          <w:sz w:val="24"/>
          <w:szCs w:val="24"/>
        </w:rPr>
        <w:t xml:space="preserve"> This Agreement shall be interpreted and applied to give the fullest effect permitted by law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w:t>
      </w:r>
    </w:p>
    <w:p>
      <w:pPr>
        <w:keepLines/>
        <w:widowControl/>
        <w:spacing w:after="160"/>
        <w:jc w:val="both"/>
      </w:pPr>
      <w:r>
        <w:rPr>
          <w:rFonts w:ascii="Times New Roman" w:hAnsi="Times New Roman"/>
          <w:sz w:val="24"/>
          <w:szCs w:val="24"/>
        </w:rPr>
        <w:t xml:space="preserve">(e) </w:t>
      </w:r>
      <w:r>
        <w:rPr>
          <w:rFonts w:ascii="Times New Roman" w:hAnsi="Times New Roman"/>
          <w:b/>
          <w:sz w:val="24"/>
          <w:szCs w:val="24"/>
        </w:rPr>
        <w:t xml:space="preserve">Severability in favor of separateness.</w:t>
      </w:r>
      <w:r>
        <w:rPr>
          <w:rFonts w:ascii="Times New Roman" w:hAnsi="Times New Roman"/>
          <w:sz w:val="24"/>
          <w:szCs w:val="24"/>
        </w:rPr>
        <w:t xml:space="preserve"> If any provision of this Agreement or of any Series Exhibit would otherwise be construed to impair the separateness of the Company or of any Protected Series or the limitations of liability described in Section 3.3, that provision shall be deemed modified to the minimum extent necessary to preserve them.</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and each Protected Series each be disregarded as an entity separate from the Member for federal income tax purposes, and that all items of income, gain, loss, deduction, and credit be reported directly by the Member. The classification of the Company and of each Protected Series shall in all events be determined under federal tax law as applied to each of them, and nothing in this Agreement constitutes tax advice or a guarantee of any particular tax treatment.</w:t>
      </w:r>
    </w:p>
    <w:p>
      <w:pPr>
        <w:keepLines/>
        <w:widowControl/>
        <w:spacing w:after="160"/>
        <w:jc w:val="both"/>
      </w:pPr>
      <w:r>
        <w:rPr>
          <w:rFonts w:ascii="Times New Roman" w:hAnsi="Times New Roman"/>
          <w:b/>
          <w:sz w:val="24"/>
          <w:szCs w:val="24"/>
        </w:rPr>
        <w:t xml:space="preserve">9.2 Tax Filings and Elections.</w:t>
      </w:r>
      <w:r>
        <w:rPr>
          <w:rFonts w:ascii="Times New Roman" w:hAnsi="Times New Roman"/>
          <w:sz w:val="24"/>
          <w:szCs w:val="24"/>
        </w:rPr>
        <w:t xml:space="preserve"> The Manager shall make, or cause to be made, all tax filings required of the Company or of any Protected Series and may make any tax election the Manager determines to be in the best interests of the Member, consistent with Section 9.1.</w:t>
      </w:r>
    </w:p>
    <w:p>
      <w:pPr>
        <w:keepLines/>
        <w:widowControl/>
        <w:spacing w:after="160"/>
        <w:jc w:val="both"/>
      </w:pPr>
      <w:r>
        <w:rPr>
          <w:rFonts w:ascii="Times New Roman" w:hAnsi="Times New Roman"/>
          <w:b/>
          <w:sz w:val="24"/>
          <w:szCs w:val="24"/>
        </w:rPr>
        <w:t xml:space="preserve">9.3 Fiscal Year.</w:t>
      </w:r>
      <w:r>
        <w:rPr>
          <w:rFonts w:ascii="Times New Roman" w:hAnsi="Times New Roman"/>
          <w:sz w:val="24"/>
          <w:szCs w:val="24"/>
        </w:rPr>
        <w:t xml:space="preserve"> The fiscal year of the Company and of each Protected Series is the calendar year unless the Manager selects another permitted year.</w:t>
      </w:r>
    </w:p>
    <w:p>
      <w:pPr>
        <w:keepLines/>
        <w:widowControl/>
        <w:spacing w:after="160"/>
        <w:jc w:val="both"/>
      </w:pPr>
      <w:r>
        <w:rPr>
          <w:rFonts w:ascii="Times New Roman" w:hAnsi="Times New Roman"/>
          <w:b/>
          <w:sz w:val="24"/>
          <w:szCs w:val="24"/>
        </w:rPr>
        <w:t xml:space="preserve">9.4 Change in Circumstances.</w:t>
      </w:r>
      <w:r>
        <w:rPr>
          <w:rFonts w:ascii="Times New Roman" w:hAnsi="Times New Roman"/>
          <w:sz w:val="24"/>
          <w:szCs w:val="24"/>
        </w:rPr>
        <w:t xml:space="preserve"> If any Protected Series or the Company ceases to qualify for disregarded treatment (including upon the admission of an additional member or the association of an additional person with any Protected Series), the Member and the Manager shall amend this Agreement (or adopt the Company's partnership-form operating agreement) as provided in Article 11 before or promptly upon the change.</w:t>
      </w:r>
    </w:p>
    <w:p>
      <w:pPr>
        <w:keepLines/>
        <w:widowControl/>
        <w:spacing w:after="160"/>
        <w:jc w:val="both"/>
      </w:pPr>
      <w:r>
        <w:rPr>
          <w:rFonts w:ascii="Times New Roman" w:hAnsi="Times New Roman"/>
          <w:b/>
          <w:sz w:val="24"/>
          <w:szCs w:val="24"/>
        </w:rPr>
        <w:t xml:space="preserve">9.5 S Corporation Election.</w:t>
      </w:r>
      <w:r>
        <w:rPr>
          <w:rFonts w:ascii="Times New Roman" w:hAnsi="Times New Roman"/>
          <w:sz w:val="24"/>
          <w:szCs w:val="24"/>
        </w:rPr>
        <w:t xml:space="preserve"> The Member may cause the Company to elect classification as an association taxable as a corporation and S corporation status under section 1362 of the Code. Before or promptly upon making any such election, the Member shall amend and restate this Agreement in the Company's S corporation form of operating agreement, under which all allocations and distributions are made strictly pro rata and every ownership interest confers identical rights to distributions and liquidation proceeds.</w:t>
      </w:r>
    </w:p>
    <w:p>
      <w:pPr>
        <w:keepLines/>
        <w:widowControl/>
        <w:spacing w:after="160"/>
        <w:jc w:val="both"/>
      </w:pPr>
      <w:r>
        <w:rPr>
          <w:rFonts w:ascii="Times New Roman" w:hAnsi="Times New Roman"/>
          <w:sz w:val="24"/>
          <w:szCs w:val="24"/>
        </w:rPr>
        <w:t xml:space="preserve">From the effective date of any such election, and whether or not this Agreement has yet been amended and restated, it is the express intent of the Member that the Company qualify at all times as a small business corporation eligible for a valid election under section 1362 of the Code and that the election remain in effect; any provision of this Agreement, of any Series Exhibit, or of any other agreement relating to the Company or any Protected Series that would cause the election to be invalid or to terminate is null and void ab initio and shall be given no force or effect for any purpose; and, to the extent any provision can be conformed rather than voided, this Agreement shall be applied and, to the minimum extent necessary, deemed modified so as to preserve the validity of the election. If the election nonetheless terminates or is determined to be invalid, the Member shall cooperate to obtain relief for an inadvertent termination or invalid election under section 1362(f) of the Code.</w:t>
      </w:r>
    </w:p>
    <w:p>
      <w:pPr>
        <w:keepNext/>
        <w:keepLines/>
        <w:widowControl/>
        <w:spacing w:before="240" w:after="0"/>
      </w:pPr>
      <w:r>
        <w:rPr>
          <w:rFonts w:ascii="Times New Roman" w:hAnsi="Times New Roman"/>
          <w:b/>
          <w:sz w:val="26"/>
          <w:szCs w:val="26"/>
        </w:rPr>
        <w:t xml:space="preserve">ARTICLE 10 — TRANSFERS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The Member shall not Transfer all or any portion of the Membership Interest, or any right to receive distributions from the Company or any Protected Series, except (a) a Transfer to an Immediate Family Member made in compliance with Section 10.2, (b) a Transfer effective at death pursuant to the TOD designation under Section 4.6, or (c) another Transfer approved in writing by the Member and reflected in an amendment to Exhibit A.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the Membership Interest to an Immediate Family Member is permitted, provided the transferee delivers to the Company a signed agreement to be bound by this Agreement. A transferee (other than a person admitted as a member under Section 11.1) holds only the transferable interest — the right to receive distributions that would otherwise be paid to the Member with respect to the transferred interest — and has no right to participate in management, to inspect records, or to exercise any other right of a member.</w:t>
      </w:r>
    </w:p>
    <w:p>
      <w:pPr>
        <w:keepLines/>
        <w:widowControl/>
        <w:spacing w:after="160"/>
        <w:jc w:val="both"/>
      </w:pPr>
      <w:r>
        <w:rPr>
          <w:rFonts w:ascii="Times New Roman" w:hAnsi="Times New Roman"/>
          <w:b/>
          <w:sz w:val="24"/>
          <w:szCs w:val="24"/>
        </w:rPr>
        <w:t xml:space="preserve">10.3 No Dissociation by Transfer Alone.</w:t>
      </w:r>
      <w:r>
        <w:rPr>
          <w:rFonts w:ascii="Times New Roman" w:hAnsi="Times New Roman"/>
          <w:sz w:val="24"/>
          <w:szCs w:val="24"/>
        </w:rPr>
        <w:t xml:space="preserve"> A Transfer does not by itself dissociate the Member or dissolve the Company or any Protected Series.</w:t>
      </w:r>
    </w:p>
    <w:p>
      <w:pPr>
        <w:keepNext/>
        <w:keepLines/>
        <w:widowControl/>
        <w:spacing w:before="240" w:after="0"/>
      </w:pPr>
      <w:r>
        <w:rPr>
          <w:rFonts w:ascii="Times New Roman" w:hAnsi="Times New Roman"/>
          <w:b/>
          <w:sz w:val="26"/>
          <w:szCs w:val="26"/>
        </w:rPr>
        <w:t xml:space="preserve">ARTICLE 11 — ADMISSION OF ADDITIONAL MEMBERS</w:t>
      </w:r>
    </w:p>
    <w:p>
      <w:pPr>
        <w:keepLines/>
        <w:widowControl/>
        <w:spacing w:after="160"/>
        <w:jc w:val="both"/>
      </w:pPr>
      <w:r>
        <w:rPr>
          <w:rFonts w:ascii="Times New Roman" w:hAnsi="Times New Roman"/>
          <w:b/>
          <w:sz w:val="24"/>
          <w:szCs w:val="24"/>
        </w:rPr>
        <w:t xml:space="preserve">11.1 Admission.</w:t>
      </w:r>
      <w:r>
        <w:rPr>
          <w:rFonts w:ascii="Times New Roman" w:hAnsi="Times New Roman"/>
          <w:sz w:val="24"/>
          <w:szCs w:val="24"/>
        </w:rPr>
        <w:t xml:space="preserve"> One or more additional members may be admitted to the Company, and any member may be associated with any Protected Series, only with the written consent of the Member and upon the admitted person's delivery of a signed agreement to be bound by this Agreement.</w:t>
      </w:r>
    </w:p>
    <w:p>
      <w:pPr>
        <w:keepLines/>
        <w:widowControl/>
        <w:spacing w:after="160"/>
        <w:jc w:val="both"/>
      </w:pPr>
      <w:r>
        <w:rPr>
          <w:rFonts w:ascii="Times New Roman" w:hAnsi="Times New Roman"/>
          <w:b/>
          <w:sz w:val="24"/>
          <w:szCs w:val="24"/>
        </w:rPr>
        <w:t xml:space="preserve">11.2 Successor Agreement.</w:t>
      </w:r>
      <w:r>
        <w:rPr>
          <w:rFonts w:ascii="Times New Roman" w:hAnsi="Times New Roman"/>
          <w:sz w:val="24"/>
          <w:szCs w:val="24"/>
        </w:rPr>
        <w:t xml:space="preserve"> The parties acknowledge that this Agreement is drafted for a Company having a single member and intended disregarded-entity tax treatment. Prior to or promptly upon the admission of an additional member (or the association of any additional person with any Protected Series), the members shall amend and restate this Agreement in a form appropriate for multiple members — including provisions for percentages, capital accounts, allocations, and partnership tax administration — and until such amendment and restatement, the default provisions of the Act shall govern the matters this Agreement does not address for multiple members.</w:t>
      </w:r>
    </w:p>
    <w:p>
      <w:pPr>
        <w:keepLines/>
        <w:widowControl/>
        <w:spacing w:after="160"/>
        <w:jc w:val="both"/>
      </w:pPr>
      <w:r>
        <w:rPr>
          <w:rFonts w:ascii="Times New Roman" w:hAnsi="Times New Roman"/>
          <w:b/>
          <w:sz w:val="24"/>
          <w:szCs w:val="24"/>
        </w:rPr>
        <w:t xml:space="preserve">11.3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12 — DISSOLUTION AND WINDING UP</w:t>
      </w:r>
    </w:p>
    <w:p>
      <w:pPr>
        <w:keepLines/>
        <w:widowControl/>
        <w:spacing w:after="160"/>
        <w:jc w:val="both"/>
      </w:pPr>
      <w:r>
        <w:rPr>
          <w:rFonts w:ascii="Times New Roman" w:hAnsi="Times New Roman"/>
          <w:b/>
          <w:sz w:val="24"/>
          <w:szCs w:val="24"/>
        </w:rPr>
        <w:t xml:space="preserve">12.1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keepLines/>
        <w:widowControl/>
        <w:spacing w:after="160"/>
        <w:jc w:val="both"/>
      </w:pPr>
      <w:r>
        <w:rPr>
          <w:rFonts w:ascii="Times New Roman" w:hAnsi="Times New Roman"/>
          <w:b/>
          <w:sz w:val="24"/>
          <w:szCs w:val="24"/>
        </w:rPr>
        <w:t xml:space="preserve">12.2 Winding Up a Protected Series.</w:t>
      </w:r>
      <w:r>
        <w:rPr>
          <w:rFonts w:ascii="Times New Roman" w:hAnsi="Times New Roman"/>
          <w:sz w:val="24"/>
          <w:szCs w:val="24"/>
        </w:rPr>
        <w:t xml:space="preserve">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12.3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12.4 Winding Up the Company.</w:t>
      </w:r>
      <w:r>
        <w:rPr>
          <w:rFonts w:ascii="Times New Roman" w:hAnsi="Times New Roman"/>
          <w:sz w:val="24"/>
          <w:szCs w:val="24"/>
        </w:rPr>
        <w:t xml:space="preserve"> Upon dissolution of the Company, the Manager (or, if there is none, a person designated by the Member) shall wind up the Company and each Protected Series. After the winding up of each Protected Series under Section 12.2,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12.5 No Deficit Obligation; Recourse Limited.</w:t>
      </w:r>
      <w:r>
        <w:rPr>
          <w:rFonts w:ascii="Times New Roman" w:hAnsi="Times New Roman"/>
          <w:sz w:val="24"/>
          <w:szCs w:val="24"/>
        </w:rPr>
        <w:t xml:space="preserve"> The Member shall have no obligation to restore any deficit or to contribute capital in connection with any winding up,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13 — AMENDMENTS; CONSENTS</w:t>
      </w:r>
    </w:p>
    <w:p>
      <w:pPr>
        <w:keepLines/>
        <w:widowControl/>
        <w:spacing w:after="160"/>
        <w:jc w:val="both"/>
      </w:pPr>
      <w:r>
        <w:rPr>
          <w:rFonts w:ascii="Times New Roman" w:hAnsi="Times New Roman"/>
          <w:b/>
          <w:sz w:val="24"/>
          <w:szCs w:val="24"/>
        </w:rPr>
        <w:t xml:space="preserve">13.1 Amendments.</w:t>
      </w:r>
      <w:r>
        <w:rPr>
          <w:rFonts w:ascii="Times New Roman" w:hAnsi="Times New Roman"/>
          <w:sz w:val="24"/>
          <w:szCs w:val="24"/>
        </w:rPr>
        <w:t xml:space="preserve"> This Agreement, including any Series Exhibit, may be amended only by a written instrument signed by the Member; provided, that any amendment changing the rights or obligations of the Manager may not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13.2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keepLines/>
        <w:widowControl/>
        <w:spacing w:before="240" w:after="0"/>
      </w:pPr>
      <w:r>
        <w:rPr>
          <w:rFonts w:ascii="Times New Roman" w:hAnsi="Times New Roman"/>
          <w:b/>
          <w:sz w:val="26"/>
          <w:szCs w:val="26"/>
        </w:rPr>
        <w:t xml:space="preserve">ARTICLE 14 — MISCELLANEOUS</w:t>
      </w:r>
    </w:p>
    <w:p>
      <w:pPr>
        <w:keepLines/>
        <w:widowControl/>
        <w:spacing w:after="160"/>
        <w:jc w:val="both"/>
      </w:pPr>
      <w:r>
        <w:rPr>
          <w:rFonts w:ascii="Times New Roman" w:hAnsi="Times New Roman"/>
          <w:b/>
          <w:sz w:val="24"/>
          <w:szCs w:val="24"/>
        </w:rPr>
        <w:t xml:space="preserve">14.1 Governing Law; Internal Affairs.</w:t>
      </w:r>
      <w:r>
        <w:rPr>
          <w:rFonts w:ascii="Times New Roman" w:hAnsi="Times New Roman"/>
          <w:sz w:val="24"/>
          <w:szCs w:val="24"/>
        </w:rPr>
        <w:t xml:space="preserve"> This Agreement, the internal affairs of the Company and of each Protected Series, and the relations among the Member,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14.2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14.3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14.4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14.5 Binding Effect.</w:t>
      </w:r>
      <w:r>
        <w:rPr>
          <w:rFonts w:ascii="Times New Roman" w:hAnsi="Times New Roman"/>
          <w:sz w:val="24"/>
          <w:szCs w:val="24"/>
        </w:rPr>
        <w:t xml:space="preserve"> This Agreement binds and benefits the Member,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14.6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14.7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14.8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14.9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14.10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NAME]</w:t>
      </w:r>
    </w:p>
    <w:p>
      <w:pPr>
        <w:keepNext/>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[MANAGER NAME], Manager</w:t>
      </w:r>
    </w:p>
    <w:p>
      <w:r>
        <w:br w:type="page"/>
      </w:r>
    </w:p>
    <w:p>
      <w:pPr>
        <w:keepNext/>
        <w:keepLines/>
        <w:widowControl/>
        <w:spacing w:before="240" w:after="0"/>
      </w:pPr>
      <w:r>
        <w:rPr>
          <w:rFonts w:ascii="Times New Roman" w:hAnsi="Times New Roman"/>
          <w:b/>
          <w:sz w:val="26"/>
          <w:szCs w:val="26"/>
        </w:rPr>
        <w:t xml:space="preserve">EXHIBIT A — MEMBER; CONTRIBUTIONS; TOD DESIGNATION</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 (ss. 711.50–711.512, Fla. Stat.):</w:t>
      </w:r>
    </w:p>
    <w:p>
      <w:pPr>
        <w:keepLines/>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none is designated or the designation fails, the Membership Interest passes as provided by law.</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Single Member / Disregarded Entity), v1 draft. Statutory citations verified against Online Sunshine on August 3, 2026: ss. 605.2103, 605.2107, 605.2201, 605.2202, 605.2301, 605.2401, 605.2501, 605.2604, 48.062, 711.50–711.512, Fla. Stat.</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