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with separate sub-accounts reflecting the Member's capital in the Company and in each Protected Series with which the Member is associated.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Administrative Member shall review the records maintained under this Article for compliance with s. 605.2301, Florida Statutes, and shall correct any deficiency promptly upon discovery. Upon completing the review, the Administrative Member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