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605.2104,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A Protected Series is established when its Protected Series Designation takes effect under ss. 605.2201(3) and 605.0207, Florida Statutes.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(s. 605.2103) and the Uniform Commercial Code (s. 671.201(32)),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The Company shall record any contribution it makes to an affected Protected Series separately in that series' records and Series Exhibit.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also use the no-capital-call wordings of Sections 6.6, 14.5 and 15.1(b).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To the extent a properly recorded instrument naming the acquiring or conveying Protected Series (by its full statutory name) or the Company, as applicable, is in favor of a person giving value without knowledge of a lack of authority, it serves as an association record and is conclusive of the signer's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605.0207, 605.0302, 605.0502, 605.0503, 605.0702, 605.2101, 605.2103, 605.2104, 605.2107, 605.2201, 605.2301, 605.2302, 605.2303, 605.2304, 605.2401, 605.2602, 605.2605, 605.2607, 605.2802, 605.04074,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