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The Company shall record any contribution it makes to an affected Protected Series separately in that series' records and Series Exhibit.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also use the no-capital-call wordings of Sections 6.6, 14.5 and 15.1(b).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605.0207, 605.0302, 605.0502, 605.0503, 605.0702, 605.2101, 605.2103, 605.2104,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