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Missing records can leave an asset non-associated; the default rule does not replace the identifying, acquisition, and transfer information the statute requires.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Owner's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The forms handle voting and creditor protection differently, and the single-member form is not built for two owners. A disregarded company ordinarily becomes a partnership for federal income-tax purposes when a second owner is admitted. An existing S election does not end merely because a second eligible owner joins.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separate company manager: the members manage directly, and in the member-managed forms with more than one owner, they may designate one of them Administrative Member under §5.8 to handle ministerial tasks. Until designation, the Members acting by a Majority in Interest perform that role as §5.8 provides.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 The threshold does not waive the agreement's ordinary-course limits or separate real-property, guarantee and other approval requirements. A transaction below it still needs every other applicable approval.</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removes the additional-capital-call obligation under §6.2; unpaid initial contributions required by §6.1 remain due. It removes one of Article 11's anchors, and the company must fund later shortfalls through loans or new members. Member capital contributions go to the Company; the Company separately contributes capital to its series. If you omit §6.2, reserve §6.2, §6.3 and §11.1(a), use the no-capital-call versions of §6.6 and §14.5, and omit the §6.3 capital-adjustment item from §15.1(b). Keep the section numbers and all unrelated duties.</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eligible under the applicable form: the professional LLC forms require eligibility under Chapter 621, and the S corporation forms also require an eligible S corporation shareholder (§9.3(b)). The owner making the designation must be an individual.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a member-managed multi-member form (or to the Members acting by a Majority in Interest until one is designated),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describes the members' continuing obligations — capital calls (if §6.2 is included), participation in governance, noncompetition (if Alternative A is selected), confidentiality, and non-disparagement — and states that the agreement is intended to be an executory contract. Section 11.2 requires the other members' prior written consent before a bankruptcy trustee or debtor in possession may assume or assign a debtor-member's governance or management rights, or cause a substitute to be admitted as a member, under 11 U.S.C. §365(c)(1) and applicable Florida law. The section distinguishes those rights from the member's transferable economic interest: it does not limit the estate's interest in those economic rights to the extent permitted by applicable law.</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and capital adjustments only where §6.3 is included;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