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Single Member / Disregarded Entity)</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 is the sole member of the Company and manages it, and intends by this Agreement to set forth the terms governing the Company, each Protected Series designated by the Company, and the relations among the Company, each Protected Series, and the Member.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605.2104, Florida Statutes.</w:t>
      </w:r>
    </w:p>
    <w:p>
      <w:pPr>
        <w:keepNext/>
        <w:widowControl/>
        <w:spacing w:after="80"/>
        <w:jc w:val="both"/>
      </w:pPr>
      <w:r>
        <w:rPr>
          <w:rStyle w:val="DraftingChoice"/>
          <w:rFonts w:ascii="Times New Roman" w:hAnsi="Times New Roman"/>
          <w:i/>
          <w:sz w:val="24"/>
          <w:szCs w:val="24"/>
        </w:rPr>
        <w:t xml:space="preserve">[If professional company:]</w:t>
      </w:r>
    </w:p>
    <w:p>
      <w:pPr>
        <w:keepNext/>
        <w:widowControl/>
        <w:spacing w:after="160"/>
        <w:jc w:val="both"/>
      </w:pPr>
      <w:r>
        <w:rPr>
          <w:rFonts w:ascii="Times New Roman" w:hAnsi="Times New Roman"/>
          <w:b/>
          <w:sz w:val="24"/>
          <w:szCs w:val="24"/>
        </w:rPr>
        <w:t xml:space="preserve">Professional companies only.</w:t>
      </w:r>
      <w:r>
        <w:rPr>
          <w:rFonts w:ascii="Times New Roman" w:hAnsi="Times New Roman"/>
          <w:sz w:val="24"/>
          <w:szCs w:val="24"/>
        </w:rPr>
        <w:t xml:space="preserve"> Notwithstanding any other provision of this Agreement or any Series Exhibit, if the Company is organized as a professional limited liability company under Chapter 621, Florida Statutes, the Company and each Protected Series shall engage only in the professional services for which the Company was organized, together with investments and ownership of property permitted by s. 621.08. No Transfer of a Membership Interest or admission as a Member, including through a transfer-on-death designation, a permitted family Transfer, bankruptcy, or continuation after the last Member ceases to be a Member, is permitted unless the recipient is a professional corporation, professional limited liability company, or individual, each licensed or otherwise legally authorized to render the same specific professional services as those for which the Company was organized, as required by ss. 621.09(2) and 621.11(2). These requirements apply in addition to every other transfer and admission requirement of this Agreement, including any applicable S corporation shareholder eligibility requirement.</w:t>
      </w:r>
    </w:p>
    <w:p>
      <w:pPr>
        <w:widowControl/>
        <w:spacing w:after="80"/>
        <w:jc w:val="both"/>
      </w:pPr>
      <w:r>
        <w:rPr>
          <w:rStyle w:val="DraftingChoice"/>
          <w:rFonts w:ascii="Times New Roman" w:hAnsi="Times New Roman"/>
          <w:i/>
          <w:sz w:val="24"/>
          <w:szCs w:val="24"/>
        </w:rPr>
        <w:t xml:space="preserve">[End if professional company.]</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Member may determine. A Protected Series may maintain its own place of business as determined by the Member.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Member shall execute and cause to be filed with the Department all records the Act requires or permits, including Protected Series Designations, amendments thereto, statements of change, annual reports, articles of dissolution of the Company, articles of protected series dissolution, and, after winding up a Protected Series, statements of designation cancellation,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2.9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2.10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2.11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2.12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2.13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shall adopt a Series Exhibit for the new Protected Series. The Member is authorized to execute and file each Protected Series Designation. Each Protected Series shall be established without Associated Members. A Protected Series is established when its Protected Series Designation takes effect under ss. 605.2201(3) and 605.0207, Florida Statutes.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(s. 605.2103) and the Uniform Commercial Code (s. 671.201(32)), distinct from the Company, from every other Protected Series, and from the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is not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Member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Other Activities.</w:t>
      </w:r>
      <w:r>
        <w:rPr>
          <w:rFonts w:ascii="Times New Roman" w:hAnsi="Times New Roman"/>
          <w:sz w:val="24"/>
          <w:szCs w:val="24"/>
        </w:rPr>
        <w:t xml:space="preserve"> The Member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4.5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if an individual, may designate any person or entity as a beneficiary. A designation may name a backup beneficiary to take if the first beneficiary does not survive the Member. The Member may change, delete, or add a TOD designation by a signed writing, witnessed by two witnesses, maintained with the Company's records; the change is effective upon execution, and Exhibit A shall be updated to reflect it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4.6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may rely on a certified copy of the power of attorney or of the letters of guardianship without further inquiry.</w:t>
      </w:r>
    </w:p>
    <w:p>
      <w:pPr>
        <w:widowControl/>
        <w:spacing w:after="160"/>
        <w:jc w:val="both"/>
      </w:pPr>
      <w:r>
        <w:rPr>
          <w:rFonts w:ascii="Times New Roman" w:hAnsi="Times New Roman"/>
          <w:b/>
          <w:sz w:val="24"/>
          <w:szCs w:val="24"/>
        </w:rPr>
        <w:t xml:space="preserve">4.7 Bankruptcy or Insolvency of the Member.</w:t>
      </w:r>
      <w:r>
        <w:rPr>
          <w:rFonts w:ascii="Times New Roman" w:hAnsi="Times New Roman"/>
          <w:sz w:val="24"/>
          <w:szCs w:val="24"/>
        </w:rPr>
        <w:t xml:space="preserve"> The Member is not dissociated, and the Membership Interest is not forfeited, terminated, or modified, by reason of the Member becoming a debtor in bankruptcy, executing an assignment for the benefit of creditors, or the appointment of a trustee, receiver, or liquidator of the Member or of all or substantially all of the Member's property, and each such event is excluded as an event of dissociation under s. 605.0602, Florida Statutes. The Company and each Protected Series continue without dissolution or winding up. A person who succeeds to all or any part of the Membership Interest by reason of such an event holds it subject to this Agreement and is admitted as the Member upon delivery to the Company of a written agreement to be bound by this Agreement.</w:t>
      </w:r>
    </w:p>
    <w:p>
      <w:pPr>
        <w:keepNext/>
        <w:widowControl/>
        <w:spacing w:before="240" w:after="200"/>
      </w:pPr>
      <w:r>
        <w:rPr>
          <w:rFonts w:ascii="Times New Roman" w:hAnsi="Times New Roman"/>
          <w:b/>
          <w:sz w:val="26"/>
          <w:szCs w:val="26"/>
        </w:rPr>
        <w:t xml:space="preserve">ARTICLE 5 — MANAGEMENT BY THE MEMBER</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 There is no manager of the Company, and no person shall be designated or hold out as a manager of the Company. The Member serves as protected-series manager as provided in Section 5.2.</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 As permitted by s. 605.2107(1)(n), Florida Statutes, this Section varies s. 605.2304(2) so that the Member, rather than the Company, is the protected-series manager of each Protected Series. The Member has, with respect to each Protected Series, the rights, powers, and duties of a protected-series manager under the Act, subject to this Agreement and the Series Exhibit.</w:t>
      </w:r>
    </w:p>
    <w:p>
      <w:pPr>
        <w:widowControl/>
        <w:spacing w:after="160"/>
        <w:jc w:val="both"/>
      </w:pPr>
      <w:r>
        <w:rPr>
          <w:rFonts w:ascii="Times New Roman" w:hAnsi="Times New Roman"/>
          <w:b/>
          <w:sz w:val="24"/>
          <w:szCs w:val="24"/>
        </w:rPr>
        <w:t xml:space="preserve">5.3 Authority to Act.</w:t>
      </w:r>
      <w:r>
        <w:rPr>
          <w:rFonts w:ascii="Times New Roman" w:hAnsi="Times New Roman"/>
          <w:sz w:val="24"/>
          <w:szCs w:val="24"/>
        </w:rPr>
        <w:t xml:space="preserve"> The Member is an agent of the Company for the purpose of its activities and affairs to the extent provided by the Act, and may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of any Protected Series.</w:t>
      </w:r>
    </w:p>
    <w:p>
      <w:pPr>
        <w:widowControl/>
        <w:spacing w:after="160"/>
        <w:jc w:val="both"/>
      </w:pPr>
      <w:r>
        <w:rPr>
          <w:rFonts w:ascii="Times New Roman" w:hAnsi="Times New Roman"/>
          <w:b/>
          <w:sz w:val="24"/>
          <w:szCs w:val="24"/>
        </w:rPr>
        <w:t xml:space="preserve">5.4 Standard of Conduct; Exculpation.</w:t>
      </w:r>
      <w:r>
        <w:rPr>
          <w:rFonts w:ascii="Times New Roman" w:hAnsi="Times New Roman"/>
          <w:sz w:val="24"/>
          <w:szCs w:val="24"/>
        </w:rPr>
        <w:t xml:space="preserve"> The Member shall discharge the duties of a member of a member-managed limited liability company consistent with the Act. The Member shall not be liable to the Company or to any Protected Series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5.5 Indemnification.</w:t>
      </w:r>
      <w:r>
        <w:rPr>
          <w:rFonts w:ascii="Times New Roman" w:hAnsi="Times New Roman"/>
          <w:sz w:val="24"/>
          <w:szCs w:val="24"/>
        </w:rPr>
        <w:t xml:space="preserve"> The Company shall indemnify the Member, and each Protected Series shall indemnify the Member acting as its protected-series manager,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5.6 Reimbursement; Shared Expenses.</w:t>
      </w:r>
      <w:r>
        <w:rPr>
          <w:rFonts w:ascii="Times New Roman" w:hAnsi="Times New Roman"/>
          <w:sz w:val="24"/>
          <w:szCs w:val="24"/>
        </w:rPr>
        <w:t xml:space="preserve"> The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Member — by specific attribution where practicable and otherwise pro rata or by such other reasonable formula as the Member adopts — and the allocation shall be recorded in the records maintained under Article 8.</w:t>
      </w:r>
    </w:p>
    <w:p>
      <w:pPr>
        <w:widowControl/>
        <w:spacing w:after="160"/>
        <w:jc w:val="both"/>
      </w:pPr>
      <w:r>
        <w:rPr>
          <w:rFonts w:ascii="Times New Roman" w:hAnsi="Times New Roman"/>
          <w:b/>
          <w:sz w:val="24"/>
          <w:szCs w:val="24"/>
        </w:rPr>
        <w:t xml:space="preserve">5.7 Statement of Authority.</w:t>
      </w:r>
      <w:r>
        <w:rPr>
          <w:rFonts w:ascii="Times New Roman" w:hAnsi="Times New Roman"/>
          <w:sz w:val="24"/>
          <w:szCs w:val="24"/>
        </w:rPr>
        <w:t xml:space="preserve"> The Member may cause a statement of authority to be filed with the Department for the Company or the relevant Protected Series under s. 605.0302, Florida Statutes, stating the authority, or the limitations on the authority, of the Member or of any person holding a specified position, to transfer or encumber real property held in the name of the entity identified in the statement, and may cause a certified copy of that statement to be recorded in the official records of any county in which the real property is located. A statement concerning real property held in the name of the Company shall identify the Company as the entity whose authority is stated. A statement concerning real property held in the name of a Protected Series shall be filed for and identify that Protected Series as the entity whose authority is stated. A statement so filed shall be consistent with this Agreement, and shall be amended or cancelled as necessary to keep it accurate.</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Member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Member shall maintain, for the Company and for each Protected Series, the records described in this Article.</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To the extent a properly recorded instrument naming the acquiring or conveying Protected Series (by its full statutory name) or the Company, as applicable, is in favor of a person giving value without knowledge of a lack of authority, it serves as an association record and is conclusive of the signer's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disregarded as an entity separate from the Member for federal income tax purposes. Each Protected Series is wholly owned by the Company. If a Protected Series is treated as an entity separate from the Company for federal income tax purposes, it is intended that the Protected Series be disregarded as an entity separate from its owner. Accordingly, all items of income, gain, loss, deduction, and credit of the Company and of each Protected Series are reported directly by the Member.</w:t>
      </w:r>
    </w:p>
    <w:p>
      <w:pPr>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Member shall make, or cause to be made, all tax filings required of the Company or of any Protected Series and may make any tax election the Member determines to be in the Member's best interests, consistent with Section 9.1.</w:t>
      </w:r>
    </w:p>
    <w:p>
      <w:pPr>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Member selects another permitted year.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and upon the admitted person's delivery of a signed agreement to be bound by this Agreement.</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and the Member's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 Words in the singular include the plural, and words in the plural include the singular, as the context requires.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has executed this Agreement as of the Effective Date.</w:t>
      </w:r>
    </w:p>
    <w:p>
      <w:pPr>
        <w:keepNext/>
        <w:widowControl/>
        <w:spacing w:after="160"/>
        <w:jc w:val="both"/>
      </w:pPr>
      <w:r>
        <w:rPr>
          <w:rFonts w:ascii="Times New Roman" w:hAnsi="Times New Roman"/>
          <w:b/>
          <w:sz w:val="24"/>
          <w:szCs w:val="24"/>
        </w:rPr>
        <w:t xml:space="preserve">MEMBER:</w:t>
      </w:r>
    </w:p>
    <w:p>
      <w:pPr>
        <w:keepNext/>
        <w:widowControl/>
        <w:spacing w:after="80"/>
        <w:jc w:val="both"/>
      </w:pPr>
      <w:r>
        <w:rPr>
          <w:rStyle w:val="DraftingChoice"/>
          <w:rFonts w:ascii="Times New Roman" w:hAnsi="Times New Roman"/>
          <w:i/>
          <w:sz w:val="24"/>
          <w:szCs w:val="24"/>
        </w:rPr>
        <w:t xml:space="preserve">[If individual member:]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individual member.]</w:t>
      </w:r>
    </w:p>
    <w:p>
      <w:pPr>
        <w:keepNext/>
        <w:widowControl/>
        <w:spacing w:after="80"/>
        <w:jc w:val="both"/>
      </w:pPr>
      <w:r>
        <w:rPr>
          <w:rStyle w:val="DraftingChoice"/>
          <w:rFonts w:ascii="Times New Roman" w:hAnsi="Times New Roman"/>
          <w:i/>
          <w:sz w:val="24"/>
          <w:szCs w:val="24"/>
        </w:rPr>
        <w:t xml:space="preserve">[If entity member:]</w:t>
      </w:r>
    </w:p>
    <w:p>
      <w:pPr>
        <w:keepNext/>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entity member.]</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Capital allocated by the Company to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CONTRIBUTIONS]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by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TO]</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that beneficiary does not survive the Member, to </w:t>
      </w:r>
      <w:r>
        <w:rPr>
          <w:rFonts w:ascii="Times New Roman" w:hAnsi="Times New Roman"/>
          <w:b/>
          <w:sz w:val="24"/>
          <w:szCs w:val="24"/>
        </w:rPr>
        <w:t xml:space="preserve">[TOD BACKUP NAME(S)]</w:t>
      </w:r>
      <w:r>
        <w:rPr>
          <w:rFonts w:ascii="Times New Roman" w:hAnsi="Times New Roman"/>
          <w:sz w:val="24"/>
          <w:szCs w:val="24"/>
        </w:rPr>
        <w:t xml:space="preserve">, or if none is designated or the designation fails, the Membership Interest passes as provided by law.</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w:t>
            </w:r>
            <w:r>
              <w:rPr>
                <w:rStyle w:val="DraftingChoice"/>
                <w:rFonts w:ascii="Times New Roman" w:hAnsi="Times New Roman"/>
                <w:i/>
                <w:sz w:val="22"/>
                <w:szCs w:val="22"/>
              </w:rPr>
              <w:t xml:space="preserve">[If additional purpose:</w:t>
            </w:r>
            <w:r>
              <w:rPr>
                <w:rFonts w:ascii="Times New Roman" w:hAnsi="Times New Roman"/>
                <w:sz w:val="22"/>
                <w:szCs w:val="22"/>
              </w:rPr>
              <w:t xml:space="preserve">, including, without limitation, [PURPOSE]</w:t>
            </w:r>
            <w:r>
              <w:rPr>
                <w:rStyle w:val="DraftingChoice"/>
                <w:rFonts w:ascii="Times New Roman" w:hAnsi="Times New Roman"/>
                <w:i/>
                <w:sz w:val="22"/>
                <w:szCs w:val="22"/>
              </w:rPr>
              <w:t xml:space="preserv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 as protected-series manager (ss. 605.2304(1)-(2), 605.2107(1)(n),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the Member:</w:t>
      </w:r>
    </w:p>
    <w:p>
      <w:pPr>
        <w:keepNext/>
        <w:widowControl/>
        <w:spacing w:after="80"/>
        <w:jc w:val="both"/>
      </w:pPr>
      <w:r>
        <w:rPr>
          <w:rStyle w:val="DraftingChoice"/>
          <w:rFonts w:ascii="Times New Roman" w:hAnsi="Times New Roman"/>
          <w:i/>
          <w:sz w:val="24"/>
          <w:szCs w:val="24"/>
        </w:rPr>
        <w:t xml:space="preserve">[If individual signer:]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[ADOPTER NAME], Member</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keepNext/>
        <w:widowControl/>
        <w:spacing w:after="160"/>
        <w:jc w:val="both"/>
      </w:pPr>
      <w:r>
        <w:rPr>
          <w:rFonts w:ascii="Times New Roman" w:hAnsi="Times New Roman"/>
          <w:sz w:val="24"/>
          <w:szCs w:val="24"/>
        </w:rPr>
        <w:t xml:space="preserve">[ADOPTER NAME], Member</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widowControl/>
        <w:spacing w:after="80"/>
        <w:jc w:val="both"/>
      </w:pPr>
      <w:r>
        <w:rPr>
          <w:rStyle w:val="DraftingChoice"/>
          <w:rFonts w:ascii="Times New Roman" w:hAnsi="Times New Roman"/>
          <w:i/>
          <w:sz w:val="24"/>
          <w:szCs w:val="24"/>
        </w:rPr>
        <w:t xml:space="preserve">[End if entity signer.]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Single Member / Disregarded Entity), v1 draft. Statutory citations in this form: ss. 48.062, 605.0102, 605.0207, 605.0302, 605.0602, 605.2101, 605.2103, 605.2104, 605.2107, 605.2201, 605.2301, 605.2302, 605.2303, 605.2304, 605.2401, 605.2602, 605.2605, 605.2607, 605.2802, 711.50, 711.501, 711.512, Fla. Stat.</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character" w:styleId="DraftingChoice">
    <w:name w:val="Drafting Choice"/>
    <w:rPr>
      <w:i/>
    </w:rPr>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