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605.2104, Florida Statutes.</w:t>
      </w:r>
    </w:p>
    <w:p>
      <w:pPr>
        <w:keepNext/>
        <w:widowControl/>
        <w:spacing w:after="80"/>
        <w:jc w:val="both"/>
      </w:pPr>
      <w:r>
        <w:rPr>
          <w:rStyle w:val="DraftingChoice"/>
          <w:rFonts w:ascii="Times New Roman" w:hAnsi="Times New Roman"/>
          <w:i/>
          <w:sz w:val="24"/>
          <w:szCs w:val="24"/>
        </w:rPr>
        <w:t xml:space="preserve">[If professional company:]</w:t>
      </w:r>
    </w:p>
    <w:p>
      <w:pPr>
        <w:keepNext/>
        <w:widowControl/>
        <w:spacing w:after="160"/>
        <w:jc w:val="both"/>
      </w:pP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80"/>
        <w:jc w:val="both"/>
      </w:pPr>
      <w:r>
        <w:rPr>
          <w:rStyle w:val="DraftingChoice"/>
          <w:rFonts w:ascii="Times New Roman" w:hAnsi="Times New Roman"/>
          <w:i/>
          <w:sz w:val="24"/>
          <w:szCs w:val="24"/>
        </w:rPr>
        <w:t xml:space="preserve">[End if professional company.]</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 A Protected Series is established when its Protected Series Designation takes effect under ss. 605.2201(3) and 605.0207, Florida Statutes.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(s. 605.2103) and the Uniform Commercial Code (s. 671.201(32)),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of the Company, and no person shall be designated or hold out as a manager of the Company. The Member serves as protected-series manager as provided in Section 5.2.</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a statement of authority to be filed with the Department for the Company or the relevant Protected Series under s. 605.0302, Florida Statutes, stating the authority, or the limitations on the authority, of the Member or of any person holding a specified position, to transfer or encumber real property held in the name of the entity identified in the statement, and may cause a certified copy of that statement to be recorded in the official records of any county in which the real property is located. A statement concerning real property held in the name of the Company shall identify the Company as the entity whose authority is stated. A statement concerning real property held in the name of a Protected Series shall be filed for and identify that Protected Series as the entity whose authority is stated.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To the extent a properly recorded instrument naming the acquiring or conveying Protected Series (by its full statutory name) or the Company, as applicable, is in favor of a person giving value without knowledge of a lack of authority, it serves as an association record and is conclusive of the signer's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as of the Effective Date.</w:t>
      </w:r>
    </w:p>
    <w:p>
      <w:pPr>
        <w:keepNext/>
        <w:widowControl/>
        <w:spacing w:after="160"/>
        <w:jc w:val="both"/>
      </w:pPr>
      <w:r>
        <w:rPr>
          <w:rFonts w:ascii="Times New Roman" w:hAnsi="Times New Roman"/>
          <w:b/>
          <w:sz w:val="24"/>
          <w:szCs w:val="24"/>
        </w:rPr>
        <w:t xml:space="preserve">MEMBER:</w:t>
      </w:r>
    </w:p>
    <w:p>
      <w:pPr>
        <w:keepNext/>
        <w:widowControl/>
        <w:spacing w:after="80"/>
        <w:jc w:val="both"/>
      </w:pPr>
      <w:r>
        <w:rPr>
          <w:rStyle w:val="DraftingChoice"/>
          <w:rFonts w:ascii="Times New Roman" w:hAnsi="Times New Roman"/>
          <w:i/>
          <w:sz w:val="24"/>
          <w:szCs w:val="24"/>
        </w:rPr>
        <w:t xml:space="preserve">[If individual member:]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individual member.]</w:t>
      </w:r>
    </w:p>
    <w:p>
      <w:pPr>
        <w:keepNext/>
        <w:widowControl/>
        <w:spacing w:after="80"/>
        <w:jc w:val="both"/>
      </w:pPr>
      <w:r>
        <w:rPr>
          <w:rStyle w:val="DraftingChoice"/>
          <w:rFonts w:ascii="Times New Roman" w:hAnsi="Times New Roman"/>
          <w:i/>
          <w:sz w:val="24"/>
          <w:szCs w:val="24"/>
        </w:rPr>
        <w:t xml:space="preserve">[If entity member:]</w:t>
      </w:r>
    </w:p>
    <w:p>
      <w:pPr>
        <w:keepNext/>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widowControl/>
        <w:spacing w:after="80"/>
        <w:jc w:val="both"/>
      </w:pPr>
      <w:r>
        <w:rPr>
          <w:rStyle w:val="DraftingChoice"/>
          <w:rFonts w:ascii="Times New Roman" w:hAnsi="Times New Roman"/>
          <w:i/>
          <w:sz w:val="24"/>
          <w:szCs w:val="24"/>
        </w:rPr>
        <w:t xml:space="preserve">[End if entity member.]</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w:t>
            </w:r>
            <w:r>
              <w:rPr>
                <w:rStyle w:val="DraftingChoice"/>
                <w:rFonts w:ascii="Times New Roman" w:hAnsi="Times New Roman"/>
                <w:i/>
                <w:sz w:val="22"/>
                <w:szCs w:val="22"/>
              </w:rPr>
              <w:t xml:space="preserve">[If additional purpose:</w:t>
            </w:r>
            <w:r>
              <w:rPr>
                <w:rFonts w:ascii="Times New Roman" w:hAnsi="Times New Roman"/>
                <w:sz w:val="22"/>
                <w:szCs w:val="22"/>
              </w:rPr>
              <w:t xml:space="preserve">, including, without limitation, [PURPOSE]</w:t>
            </w:r>
            <w:r>
              <w:rPr>
                <w:rStyle w:val="DraftingChoice"/>
                <w:rFonts w:ascii="Times New Roman" w:hAnsi="Times New Roman"/>
                <w:i/>
                <w:sz w:val="22"/>
                <w:szCs w:val="22"/>
              </w:rPr>
              <w:t xml:space="preserv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keepNext/>
        <w:widowControl/>
        <w:spacing w:after="80"/>
        <w:jc w:val="both"/>
      </w:pPr>
      <w:r>
        <w:rPr>
          <w:rStyle w:val="DraftingChoice"/>
          <w:rFonts w:ascii="Times New Roman" w:hAnsi="Times New Roman"/>
          <w:i/>
          <w:sz w:val="24"/>
          <w:szCs w:val="24"/>
        </w:rPr>
        <w:t xml:space="preserve">[If individual signer:]</w:t>
      </w:r>
    </w:p>
    <w:p>
      <w:pPr>
        <w:keepNext/>
        <w:widowControl/>
        <w:spacing w:after="160"/>
        <w:jc w:val="both"/>
      </w:pPr>
      <w:r>
        <w:rPr>
          <w:rFonts w:ascii="Times New Roman" w:hAnsi="Times New Roman"/>
          <w:sz w:val="24"/>
          <w:szCs w:val="24"/>
        </w:rPr>
        <w:t xml:space="preserve">_____________________________</w:t>
      </w:r>
    </w:p>
    <w:p>
      <w:pPr>
        <w:keepNext/>
        <w:widowControl/>
        <w:spacing w:after="160"/>
        <w:jc w:val="both"/>
      </w:pPr>
      <w:r>
        <w:rPr>
          <w:rFonts w:ascii="Times New Roman" w:hAnsi="Times New Roman"/>
          <w:sz w:val="24"/>
          <w:szCs w:val="24"/>
        </w:rPr>
        <w:t xml:space="preserve">[ADOPTER NAME], Member</w:t>
      </w:r>
    </w:p>
    <w:p>
      <w:pPr>
        <w:widowControl/>
        <w:spacing w:after="80"/>
        <w:jc w:val="both"/>
      </w:pPr>
      <w:r>
        <w:rPr>
          <w:rStyle w:val="DraftingChoice"/>
          <w:rFonts w:ascii="Times New Roman" w:hAnsi="Times New Roman"/>
          <w:i/>
          <w:sz w:val="24"/>
          <w:szCs w:val="24"/>
        </w:rPr>
        <w:t xml:space="preserve">[End if individual signer.]</w:t>
      </w:r>
    </w:p>
    <w:p>
      <w:pPr>
        <w:keepNext/>
        <w:widowControl/>
        <w:spacing w:after="80"/>
        <w:jc w:val="both"/>
      </w:pPr>
      <w:r>
        <w:rPr>
          <w:rStyle w:val="DraftingChoice"/>
          <w:rFonts w:ascii="Times New Roman" w:hAnsi="Times New Roman"/>
          <w:i/>
          <w:sz w:val="24"/>
          <w:szCs w:val="24"/>
        </w:rPr>
        <w:t xml:space="preserve">[If entity signer:]</w:t>
      </w:r>
    </w:p>
    <w:p>
      <w:pPr>
        <w:keepNext/>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Next/>
        <w:keepLines/>
        <w:widowControl/>
        <w:spacing w:after="160"/>
        <w:ind w:left="407"/>
      </w:pPr>
      <w:r>
        <w:rPr>
          <w:rFonts w:ascii="Times New Roman" w:hAnsi="Times New Roman"/>
          <w:sz w:val="24"/>
          <w:szCs w:val="24"/>
        </w:rPr>
        <w:t xml:space="preserve">[PRINTED NAME]</w:t>
      </w:r>
    </w:p>
    <w:p>
      <w:pPr>
        <w:keepNext/>
        <w:keepLines/>
        <w:widowControl/>
        <w:spacing w:after="160"/>
        <w:ind w:left="407"/>
      </w:pPr>
      <w:r>
        <w:rPr>
          <w:rFonts w:ascii="Times New Roman" w:hAnsi="Times New Roman"/>
          <w:sz w:val="24"/>
          <w:szCs w:val="24"/>
        </w:rPr>
        <w:t xml:space="preserve">[TITLE]</w:t>
      </w:r>
    </w:p>
    <w:p>
      <w:pPr>
        <w:widowControl/>
        <w:spacing w:after="80"/>
        <w:jc w:val="both"/>
      </w:pPr>
      <w:r>
        <w:rPr>
          <w:rStyle w:val="DraftingChoice"/>
          <w:rFonts w:ascii="Times New Roman" w:hAnsi="Times New Roman"/>
          <w:i/>
          <w:sz w:val="24"/>
          <w:szCs w:val="24"/>
        </w:rPr>
        <w:t xml:space="preserve">[End if entity signer.]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605.0207, 605.0302, 605.0602, 605.2101, 605.2103, 605.2104,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character" w:styleId="DraftingChoice">
    <w:name w:val="Drafting Choice"/>
    <w:rPr>
      <w:i/>
    </w:rPr>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