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605.2104,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2.12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2.13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2.14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 A Protected Series is established when its Protected Series Designation takes effect under ss. 605.2201(3) and 605.0207, Florida Statutes.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(s. 605.2103) and the Uniform Commercial Code (s. 671.201(32)),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w:t>
      </w:r>
      <w:r>
        <w:rPr>
          <w:rStyle w:val="DraftingChoice"/>
          <w:rFonts w:ascii="Times New Roman" w:hAnsi="Times New Roman"/>
          <w:i/>
          <w:sz w:val="24"/>
          <w:szCs w:val="24"/>
        </w:rPr>
        <w:t xml:space="preserve">[One manager: </w:t>
      </w:r>
      <w:r>
        <w:rPr>
          <w:rFonts w:ascii="Times New Roman" w:hAnsi="Times New Roman"/>
          <w:sz w:val="24"/>
          <w:szCs w:val="24"/>
        </w:rPr>
        <w:t xml:space="preserve">The initial Manager is [MANAGER NAMES].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sz w:val="24"/>
          <w:szCs w:val="24"/>
        </w:rPr>
        <w:t xml:space="preserve">The initial Managers are [MANAGER NAMES].</w:t>
      </w:r>
      <w:r>
        <w:rPr>
          <w:rStyle w:val="DraftingChoice"/>
          <w:rFonts w:ascii="Times New Roman" w:hAnsi="Times New Roman"/>
          <w:i/>
          <w:sz w:val="24"/>
          <w:szCs w:val="24"/>
        </w:rPr>
        <w:t xml:space="preserve">]</w:t>
      </w:r>
      <w:r>
        <w:rPr>
          <w:rFonts w:ascii="Times New Roman" w:hAnsi="Times New Roman"/>
          <w:sz w:val="24"/>
          <w:szCs w:val="24"/>
        </w:rPr>
        <w:t xml:space="preserve">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file, amend, or cancel a statement of authority under s. 605.0302, Florida Statutes, or record a certified copy of one; or</w:t>
      </w:r>
    </w:p>
    <w:p>
      <w:pPr>
        <w:widowControl/>
        <w:spacing w:after="160"/>
        <w:jc w:val="both"/>
      </w:pPr>
      <w:r>
        <w:rPr>
          <w:rFonts w:ascii="Times New Roman" w:hAnsi="Times New Roman"/>
          <w:sz w:val="24"/>
          <w:szCs w:val="24"/>
        </w:rPr>
        <w:t xml:space="preserve">(c) make, change, or revoke any election under the Code affecting the classification of the Company or of any Protected Series.</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taken without the approval Section 5.4 requires;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acts without the approval Section 5.4 requires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5.4(b), the Manager may cause a statement of authority to be filed with the Department for the Company or the relevant Protected Series under s. 605.0302, Florida Statutes, stating the authority, or the limitations on the authority, of the Manager, of any Protected Series Manager,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To the extent a properly recorded instrument naming the acquiring or conveying Protected Series (by its full statutory name) or the Company, as applicable, is in favor of a person giving value without knowledge of a lack of authority, it serves as an association record and is conclusive of the signer's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and no election shall be revoked without the Member's written consent.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the Member, after the end of each fiscal year, the information (including Schedule K-1) necessary for the Member's returns.</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w:t>
      </w:r>
    </w:p>
    <w:p>
      <w:pPr>
        <w:keepNext/>
        <w:widowControl/>
        <w:spacing w:after="80"/>
        <w:jc w:val="both"/>
      </w:pPr>
      <w:r>
        <w:rPr>
          <w:rStyle w:val="DraftingChoice"/>
          <w:rFonts w:ascii="Times New Roman" w:hAnsi="Times New Roman"/>
          <w:i/>
          <w:sz w:val="24"/>
          <w:szCs w:val="24"/>
        </w:rPr>
        <w:t xml:space="preserve">[If individual member:]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member.]</w:t>
      </w:r>
    </w:p>
    <w:p>
      <w:pPr>
        <w:keepNext/>
        <w:widowControl/>
        <w:spacing w:after="80"/>
        <w:jc w:val="both"/>
      </w:pPr>
      <w:r>
        <w:rPr>
          <w:rStyle w:val="DraftingChoice"/>
          <w:rFonts w:ascii="Times New Roman" w:hAnsi="Times New Roman"/>
          <w:i/>
          <w:sz w:val="24"/>
          <w:szCs w:val="24"/>
        </w:rPr>
        <w:t xml:space="preserve">[If entity member:]</w:t>
      </w:r>
    </w:p>
    <w:p>
      <w:pPr>
        <w:keepNext/>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member.]</w:t>
      </w:r>
    </w:p>
    <w:p>
      <w:pPr>
        <w:keepNext/>
        <w:widowControl/>
        <w:spacing w:after="8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ACKNOWLEDGED AND AGREED BY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ACKNOWLEDGED AND AGREED BY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purpose:</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8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Adopted effective [DATE] by the Company, acting through its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Adopted effective [DATE] by the Company, acting through its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Protected Series Manager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S Corporation), v1 draft. Statutory citations in this form: ss. 48.062, 605.0102, 605.0207, 605.0302, 605.0602, 605.2101, 605.2103, 605.2104, 605.2107, 605.2201, 605.2301, 605.2302, 605.2303, 605.2304, 605.2401, 605.2602, 605.2605, 605.2607, 605.2802, 605.04074, 711.50, 711.501, 711.512, Fla. Stat. Internal Revenue Code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character" w:styleId="DraftingChoice">
    <w:name w:val="Drafting Choice"/>
    <w:rPr>
      <w:i/>
    </w:rPr>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