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ss. 605.0304 and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$50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separate company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(Section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when its first </w:t>
      </w:r>
      <w:r>
        <w:rPr>
          <w:rFonts w:ascii="Georgia" w:hAnsi="Georgia"/>
          <w:b/>
          <w:sz w:val="22"/>
          <w:szCs w:val="22"/>
        </w:rPr>
        <w:t xml:space="preserve">Protected Series Designation</w:t>
      </w:r>
      <w:r>
        <w:rPr>
          <w:rFonts w:ascii="Georgia" w:hAnsi="Georgia"/>
          <w:sz w:val="22"/>
          <w:szCs w:val="22"/>
        </w:rPr>
        <w:t xml:space="preserve"> takes effect.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percentages or fractions of the whole,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separate company manager: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capital contributions (members contribute to the Company; the Company contributes to its series, with both steps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Article 10 addresses admission of an additional member. Transfer provisions also appear elsewhere in the agreement, including Section 9.3’s shareholder-eligibility restrictions in the S corporation forms and Section 1.4’s ownership requirements for professional companies.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 multi-member forms only).</w:t>
      </w:r>
      <w:r>
        <w:rPr>
          <w:rFonts w:ascii="Georgia" w:hAnsi="Georgia"/>
          <w:sz w:val="22"/>
          <w:szCs w:val="22"/>
        </w:rPr>
        <w:t xml:space="preserve"> If you included it, owners holding more than 50% of the ownership interests held by members can require everyone to contribute more money to the Company, in proportion to ownership, up to the annual per-owner cap you set. The cap is what protects a minority owner from being bled by repeated calls. If you omitted it, Sections 6.2, 6.3 and 11.1(a) are reserved and the related references in 6.6, 14.5 and 15.1(b) are adjusted. Unpaid initial contributions required by Section 6.1 remain due, but there is no additional-capital-call obligation under Section 6.2. The company must fund later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 multi-member forms only).</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 disregarded company ordinarily becomes a partnership for federal income-tax purposes when a second owner is admitted. An existing S election does not end merely because a second eligible owner joins.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(s.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s.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to the extent it is in favor of a person giving value without knowledge of the signer's lack of authority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(capital contributions).</w:t>
      </w:r>
      <w:r>
        <w:rPr>
          <w:rFonts w:ascii="Georgia" w:hAnsi="Georgia"/>
          <w:sz w:val="22"/>
          <w:szCs w:val="22"/>
        </w:rPr>
        <w:t xml:space="preserve"> Members contribute money or property to the Company. The Company, which owns every series, then contributes it to the intended series. Record the member-to-Company contribution in the Company's records and the Company-to-series contribution in that series' records and Series Exhibit (Article 6). Deposit money to the respective accounts and document both steps for s. 605.2301. A separately documented loan or sale is a different transaction; do not label it a capital contribution.</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only a single-family dwelling is transferred. Mortgaged-property transfers can be taxable without cash changing hands. At the outside-Miami-Dade rate, $300,000 of taxable consideration means $2,100 in tax. Unencumbered, no-consideration transfers require separate analysis. Confirm consideration, rate and exemptions with your closing agent or CPA before recording.</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of the signer's authority and serves as an association record to the extent it is in favor of a person giving value without knowledge of a lack of authority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widowControl/>
        <w:spacing w:after="160"/>
        <w:jc w:val="both"/>
      </w:pPr>
      <w:r>
        <w:rPr>
          <w:rFonts w:ascii="Georgia" w:hAnsi="Georgia"/>
          <w:sz w:val="22"/>
          <w:szCs w:val="22"/>
        </w:rPr>
        <w:t xml:space="preserve">If you choose to file a statement of authority, identify the entity that holds the property. A statement concerning property held by the company identifies the company; a statement concerning property held by a protected series identifies that protected series. The company-form instructions below should not be used for a series filing without confirming the Division’s filing requirements for that series.</w:t>
      </w:r>
    </w:p>
    <w:p>
      <w:pPr>
        <w:keepNext/>
        <w:widowControl/>
        <w:spacing w:after="160"/>
        <w:jc w:val="both"/>
      </w:pPr>
      <w:r>
        <w:rPr>
          <w:rFonts w:ascii="Georgia" w:hAnsi="Georgia"/>
          <w:sz w:val="22"/>
          <w:szCs w:val="22"/>
        </w:rPr>
        <w:t xml:space="preserve">For a company filing,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For example, if you use a member-managed, multi-member agreement and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Next/>
        <w:keepLines/>
        <w:widowControl/>
        <w:spacing w:after="80"/>
        <w:ind w:left="504" w:right="504"/>
      </w:pPr>
      <w:r>
        <w:rPr>
          <w:rFonts w:ascii="Georgia" w:hAnsi="Georgia"/>
          <w:sz w:val="21"/>
          <w:szCs w:val="21"/>
        </w:rPr>
        <w:t xml:space="preserve">Name: Maria Santos</w:t>
      </w:r>
    </w:p>
    <w:p>
      <w:pPr>
        <w:keepNext/>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s.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s.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separate federal income-tax return for the disregarded LLC. Its activity is reported through its tax owner. An individual generally uses the applicable schedules of Form 1040 or 1040-SR; other owners use their applicable reporting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an EIN identifies the company for those purposes. </w:t>
      </w:r>
      <w:r>
        <w:rPr>
          <w:rFonts w:ascii="Georgia" w:hAnsi="Georgia"/>
          <w:b/>
          <w:sz w:val="22"/>
          <w:szCs w:val="22"/>
        </w:rPr>
        <w:t xml:space="preserve">A W-9 identifies the taxpayer.</w:t>
      </w:r>
      <w:r>
        <w:rPr>
          <w:rFonts w:ascii="Georgia" w:hAnsi="Georgia"/>
          <w:sz w:val="22"/>
          <w:szCs w:val="22"/>
        </w:rPr>
        <w:t xml:space="preserve"> For a disregarded entity, use the tax owner's name and taxpayer identification number as the W-9 instructions require, and identify the disregarded entity on line 2.</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requires an EIN for its records</w:t>
      </w:r>
      <w:r>
        <w:rPr>
          <w:rFonts w:ascii="Georgia" w:hAnsi="Georgia"/>
          <w:sz w:val="22"/>
          <w:szCs w:val="22"/>
        </w:rPr>
        <w:t xml:space="preserve"> — a lender, title company, insurer, or property manager. Distinguish that request from a W-9: a W-9 identifies the tax owner under the form's instructions. That tax identification is different from the series' name on its contracts and bank accounts.</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(where the company itself is disregarded, its activity is reported through its tax owner; an individual generally uses the applicable schedules of Form 1040 or 1040-SR, while other owners use their applicable reporting rules).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Administrative dissolution also dissolves the company’s protected series and requires them to wind up; it does not immediately terminate their existence.</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final rule, effective August 14, 2026, retained the exemption for U.S.-formed companies. A Florida LLC formed in Florida does not file a federal beneficial ownership report under that rule, and its owners do not submit one for that company.</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(ss. 605.0304 and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duty in Section 6.2 and noncompetition duty in Section 4.7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describes the members' continuing managerial and governance obligations and states that the agreement is intended to be an executory contract under 11 U.S.C. §365. Section 11.2 requires the other members' prior written consent before a bankruptcy trustee or debtor in possession may assume or assign a debtor-member's governance or management rights, or cause a substitute to be admitted as a member, under §365(c)(1) and applicable Florida law. This separates control of the company from the economic interest: the section does not limit the bankruptcy estate's interest in the debtor-member's transferable economic interest to the extent permitted by applicable law. It is not a promise that economic rights cannot enter the estate or be sold. The provision's effect depends on applicable law and the bankruptcy court's decision; no drafting guarantees an outcome.</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to the professional-owner eligibility requirements on the professional LLC forms and the eligible-shareholder rule on the S corporation forms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s.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so notices reach you,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Record dissolution and complete winding up. Section 605.2502 permits articles of protected series dissolution and, after winding up, a statement of designation cancellation. Your agreement requires the responsible Manager or Member to cause the post-winding-up cancellation filing. Do not treat dissolution articles alone as removing the series from the annual report: that requires dissolution and completed winding up under s. 605.2206.</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 Section 605.2602 expressly preserves the exceptions in ss. 605.2605(2), 605.2606(2) and 605.2607(1); those are company-merger provisions, not permission for a protected series to reorganize independently.</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designation taking effect.</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s.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(her first three series are included in the service package);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Obtain and document all members’ consent → ☐ Sign in to your client portal on our website, select “Order services,” then “Add a Protected Series,” and complete the order → ☐ Adopt and sign the Series Exhibit, using the exact series name, purpose and capital information → ☐ Confirm that the Protected Series Designation has been filed and has taken effect before conducting business through the series → ☐ Obtain an EIN if needed → ☐ Open the series’ bank account → ☐ Fund it, recording member-to-Company and Company-to-series capital contributions separately → ☐ Enter the first asset on the asset schedule → ☐ Arrange insurance in the series’ name.</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capital from a member: record member-to-Company and Company-to-series contributions separately; document loans or sales as such;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[capital contribution by the Company recorded in the Series Exhibit; the member's preceding contribution to the Company is recorded separately]</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dissolution by the state for failing to meet statutory requirements. The company continues to exist for winding up, and its protected series must also wind up. Dissolution is not immediate termination; reinstatement can allow the company and its series to resume operations.</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 member contributes to the Company, or the Company contributes to its wholly owned series, with each step separately recorded.</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To order it through our website, sign in to your client portal, select “Order services,” then “Add a Protected Series.” The same logic applies to the sale proceeds: don't leave them parked in the old series, where the old property's tail can reach them — distribute them up to the company, documented, and fund the new purchase through a recorded Company-to-series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220.02, 605.0302, 605.0304, 605.0410, 605.0503, 605.0602, 605.0714, 605.1103, 605.04074, 605.2101–605.2802, 711.50–711.512; former s. 212.031 (historical commercial-rent tax); Ch. 726; Prop. Treas. Reg. §301.7701-1(a)(5); FinCEN final rule (effective Aug. 14, 2026; fincen.gov/boi);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