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Multiple Members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Next/>
        <w:widowControl/>
        <w:spacing w:after="80"/>
        <w:jc w:val="both"/>
      </w:pPr>
      <w:r>
        <w:rPr>
          <w:rStyle w:val="DraftingChoice"/>
          <w:rFonts w:ascii="Times New Roman" w:hAnsi="Times New Roman"/>
          <w:i/>
          <w:sz w:val="24"/>
          <w:szCs w:val="24"/>
        </w:rPr>
        <w:t xml:space="preserve">[If professional company:]</w:t>
      </w:r>
    </w:p>
    <w:p>
      <w:pPr>
        <w:keepNext/>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or fractions of the whole, as set forth on Exhibit A;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Subject to Section 9.3(b),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w:t>
      </w:r>
      <w:r>
        <w:rPr>
          <w:rStyle w:val="DraftingChoice"/>
          <w:rFonts w:ascii="Times New Roman" w:hAnsi="Times New Roman"/>
          <w:i/>
          <w:sz w:val="24"/>
          <w:szCs w:val="24"/>
        </w:rPr>
        <w:t xml:space="preserve">[One manager: </w:t>
      </w:r>
      <w:r>
        <w:rPr>
          <w:rFonts w:ascii="Times New Roman" w:hAnsi="Times New Roman"/>
          <w:sz w:val="24"/>
          <w:szCs w:val="24"/>
        </w:rPr>
        <w:t xml:space="preserve">The initial Manager is [MANAGER NAMES].</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sz w:val="24"/>
          <w:szCs w:val="24"/>
        </w:rPr>
        <w:t xml:space="preserve">The initial Managers are [MANAGER NAMES].</w:t>
      </w:r>
      <w:r>
        <w:rPr>
          <w:rStyle w:val="DraftingChoice"/>
          <w:rFonts w:ascii="Times New Roman" w:hAnsi="Times New Roman"/>
          <w:i/>
          <w:sz w:val="24"/>
          <w:szCs w:val="24"/>
        </w:rPr>
        <w:t xml:space="preserve">]</w:t>
      </w:r>
      <w:r>
        <w:rPr>
          <w:rFonts w:ascii="Times New Roman" w:hAnsi="Times New Roman"/>
          <w:sz w:val="24"/>
          <w:szCs w:val="24"/>
        </w:rPr>
        <w:t xml:space="preserve">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articles of protected series dissolution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taken without the approval Section 5.4 requires;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acts without the approval Section 5.4 requires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a statement of authority to be filed with the Department for the Company or the relevant Protected Series under s. 605.0302, Florida Statutes, stating the authority, or the limitations on the authority, of the Manager, of any Protected Series Manager, or of any person holding a specified position,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by the Company to its Members — including distributions in liquidation of the Company — shall be made strictly pro rata in accordance with Percentage Interests, and every Membership Interest confers identical rights to distributions and liquidation proceeds. All distributions by a Protected Series, including in liquidation, shall be made solely to the Company as provided in Sections 7.2 and 14.2.</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The Members acknowledge that this Agreement imposes continuing managerial and governance obligations and is intended to be an executory contract. Under 11 U.S.C. § 365(c)(1) and applicable Florida law (including Chapter 605 and this Agreement), a trustee or debtor in possession may not assume or assign a debtor Member’s governance or management rights, or cause a substitute to be admitted as a Member, without the prior written consent of the other Members. Nothing in this Section limits the estate’s interest in a Member’s transferable (economic) interest to the extent permitted by applicable law.</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and only if that person is an eligible S corporation shareholder under section 1361 of the Code and the admission would not cause the number of shareholders to exceed the limit of that section, except that (a) a TOD beneficiary is admitted as provided in Section 4.11, and (b) a permitted family transferee under Section 10.2 may be admitted with the written consent of a Majority in Interest of the Members other than the transferor.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by the Company to its Members in winding up shall be made in proportion to Percentage Interests, so that every Membership Interest confers identical rights to liquidation proceeds. Distributions in winding up a Protected Series shall be made solely to the Company as provided in Section 14.2.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MEMBERS:</w:t>
      </w:r>
    </w:p>
    <w:p>
      <w:pPr>
        <w:keepNext/>
        <w:widowControl/>
        <w:spacing w:after="80"/>
        <w:jc w:val="both"/>
      </w:pPr>
      <w:r>
        <w:rPr>
          <w:rStyle w:val="DraftingChoice"/>
          <w:rFonts w:ascii="Times New Roman" w:hAnsi="Times New Roman"/>
          <w:i/>
          <w:sz w:val="24"/>
          <w:szCs w:val="24"/>
        </w:rPr>
        <w:t xml:space="preserve">[If joint ownership unit:]</w:t>
      </w:r>
    </w:p>
    <w:p>
      <w:pPr>
        <w:keepNext/>
        <w:widowControl/>
        <w:spacing w:after="160"/>
        <w:jc w:val="both"/>
      </w:pPr>
      <w:r>
        <w:rPr>
          <w:rFonts w:ascii="Times New Roman" w:hAnsi="Times New Roman"/>
          <w:b/>
          <w:sz w:val="24"/>
          <w:szCs w:val="24"/>
        </w:rPr>
        <w:t xml:space="preserve">[UNIT]</w:t>
      </w:r>
    </w:p>
    <w:p>
      <w:pPr>
        <w:keepNext/>
        <w:widowControl/>
        <w:spacing w:after="160"/>
        <w:jc w:val="both"/>
      </w:pPr>
      <w:r>
        <w:rPr>
          <w:rFonts w:ascii="Times New Roman" w:hAnsi="Times New Roman"/>
          <w:sz w:val="24"/>
          <w:szCs w:val="24"/>
        </w:rPr>
        <w:t xml:space="preserve">[HOLDING]</w:t>
      </w:r>
    </w:p>
    <w:p>
      <w:pPr>
        <w:widowControl/>
        <w:spacing w:after="80"/>
        <w:jc w:val="both"/>
      </w:pPr>
      <w:r>
        <w:rPr>
          <w:rStyle w:val="DraftingChoice"/>
          <w:rFonts w:ascii="Times New Roman" w:hAnsi="Times New Roman"/>
          <w:i/>
          <w:sz w:val="24"/>
          <w:szCs w:val="24"/>
        </w:rPr>
        <w:t xml:space="preserve">[End if joint ownership unit.]</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widowControl/>
        <w:spacing w:after="16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ACKNOWLEDGED AND AGREED BY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ACKNOWLEDGED AND AGREED BY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 </w:t>
            </w:r>
            <w:r>
              <w:rPr>
                <w:rStyle w:val="DraftingChoice"/>
                <w:rFonts w:ascii="Times New Roman" w:hAnsi="Times New Roman"/>
                <w:i/>
                <w:sz w:val="22"/>
                <w:szCs w:val="22"/>
              </w:rPr>
              <w:t xml:space="preserve">[If joint: </w:t>
            </w:r>
            <w:r>
              <w:rPr>
                <w:rFonts w:ascii="Times New Roman" w:hAnsi="Times New Roman"/>
                <w:sz w:val="22"/>
                <w:szCs w:val="22"/>
              </w:rPr>
              <w:t xml:space="preserve">as [HOLDING]</w:t>
            </w:r>
            <w:r>
              <w:rPr>
                <w:rStyle w:val="DraftingChoice"/>
                <w:rFonts w:ascii="Times New Roman" w:hAnsi="Times New Roman"/>
                <w:i/>
                <w:sz w:val="22"/>
                <w:szCs w:val="22"/>
              </w:rPr>
              <w:t xml:space="preserv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SHARE]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CONTRIBUTION]</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BY]</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Retained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ASSETS]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(eligible S corporation shareholder)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w:t>
            </w:r>
            <w:r>
              <w:rPr>
                <w:rStyle w:val="DraftingChoice"/>
                <w:rFonts w:ascii="Times New Roman" w:hAnsi="Times New Roman"/>
                <w:i/>
                <w:sz w:val="22"/>
                <w:szCs w:val="22"/>
              </w:rPr>
              <w:t xml:space="preserve">[If spouses: </w:t>
            </w:r>
            <w:r>
              <w:rPr>
                <w:rFonts w:ascii="Times New Roman" w:hAnsi="Times New Roman"/>
                <w:sz w:val="22"/>
                <w:szCs w:val="22"/>
              </w:rPr>
              <w:t xml:space="preserve">(effective at the death of the last surviving spouse)</w:t>
            </w:r>
            <w:r>
              <w:rPr>
                <w:rStyle w:val="DraftingChoice"/>
                <w:rFonts w:ascii="Times New Roman" w:hAnsi="Times New Roman"/>
                <w:i/>
                <w:sz w:val="22"/>
                <w:szCs w:val="22"/>
              </w:rPr>
              <w:t xml:space="preserv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BACKUP]</w:t>
            </w:r>
          </w:p>
        </w:tc>
      </w:tr>
    </w:tbl>
    <w:p>
      <w:pPr>
        <w:widowControl/>
        <w:spacing w:after="0"/>
      </w:pPr>
      <w:r>
        <w:rPr>
          <w:rFonts w:ascii="Times New Roman" w:hAnsi="Times New Roman"/>
          <w:sz w:val="24"/>
        </w:rPr>
      </w:r>
    </w:p>
    <w:p>
      <w:pPr>
        <w:widowControl/>
        <w:spacing w:after="160"/>
        <w:jc w:val="both"/>
      </w:pPr>
      <w:r>
        <w:rPr>
          <w:rFonts w:ascii="Times New Roman" w:hAnsi="Times New Roman"/>
          <w:sz w:val="24"/>
          <w:szCs w:val="24"/>
        </w:rPr>
        <w:t xml:space="preserve">A designation is effective only in favor of a beneficiary that is an eligible S corporation shareholder (Section 9.3(b)).</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purpose: </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widowControl/>
        <w:spacing w:after="16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Adopted effective [DATE] by the Company, acting through its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Adopted effective [DATE] by the Company, acting through its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[ADOPTER NAME], Protected Series Manager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Multiple Members / S Corporation), v1 draft. Statutory citations in this form: ss. 48.062, 605.0102, 605.0302, 605.0502, 605.0503, 605.0702, 605.2101, 605.2103, 605.2107, 605.2201, 605.2301, 605.2302, 605.2303, 605.2304, 605.2401, 605.2602, 605.2605, 605.2607, 605.2802, 605.04074, 605.04091, 711.50, 711.501, 711.512, Fla. Stat.; 11 U.S.C. §365; In re Soderstrom, 484 B.R. 874 (M.D. Fla. 2013). Internal Revenue Code sections: 1361, 1362, 1366, 1377,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