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(Member-Managed — Multiple Members / S Corporation)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and the Members.</w:t>
      </w:r>
    </w:p>
    <w:p>
      <w:pPr>
        <w:keepNext/>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Administrative Member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Next/>
        <w:widowControl/>
        <w:spacing w:after="80"/>
        <w:jc w:val="both"/>
      </w:pPr>
      <w:r>
        <w:rPr>
          <w:rStyle w:val="DraftingChoice"/>
          <w:rFonts w:ascii="Times New Roman" w:hAnsi="Times New Roman"/>
          <w:i/>
          <w:sz w:val="24"/>
          <w:szCs w:val="24"/>
        </w:rPr>
        <w:t xml:space="preserve">[If professional company:]</w:t>
      </w:r>
    </w:p>
    <w:p>
      <w:pPr>
        <w:keepNext/>
        <w:widowControl/>
        <w:spacing w:after="160"/>
        <w:jc w:val="both"/>
      </w:pPr>
      <w:r>
        <w:rPr>
          <w:rFonts w:ascii="Times New Roman" w:hAnsi="Times New Roman"/>
          <w:b/>
          <w:sz w:val="24"/>
          <w:szCs w:val="24"/>
        </w:rPr>
        <w:t xml:space="preserve">Professional companies only.</w:t>
      </w:r>
      <w:r>
        <w:rPr>
          <w:rFonts w:ascii="Times New Roman" w:hAnsi="Times New Roman"/>
          <w:sz w:val="24"/>
          <w:szCs w:val="24"/>
        </w:rPr>
        <w:t xml:space="preserve"> Notwithstanding any other provision of this Agreement or any Series Exhibit, if the Company is organized as a professional limited liability company under Chapter 621, Florida Statutes, the Company and each Protected Series shall engage only in the professional services for which the Company was organized, together with investments and ownership of property permitted by s. 621.08. No Transfer of a Membership Interest or admission as a Member, including through a transfer-on-death designation, a permitted family Transfer, bankruptcy, or continuation after the last Member ceases to be a Member, is permitted unless the recipient is a professional corporation, professional limited liability company, or individual, each licensed or otherwise legally authorized to render the same specific professional services as those for which the Company was organized, as required by ss. 621.09(2) and 621.11(2). These requirements apply in addition to every other transfer and admission requirement of this Agreement, including any applicable S corporation shareholder eligibility requirement.</w:t>
      </w:r>
    </w:p>
    <w:p>
      <w:pPr>
        <w:widowControl/>
        <w:spacing w:after="80"/>
        <w:jc w:val="both"/>
      </w:pPr>
      <w:r>
        <w:rPr>
          <w:rStyle w:val="DraftingChoice"/>
          <w:rFonts w:ascii="Times New Roman" w:hAnsi="Times New Roman"/>
          <w:i/>
          <w:sz w:val="24"/>
          <w:szCs w:val="24"/>
        </w:rPr>
        <w:t xml:space="preserve">[End if professional company.]</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a Majority in Interest may determine. A Protected Series may maintain its own place of business as determined by a Majority in Interest.</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Administrative Member shall execute and cause to be filed with the Department all records the Act requires or permits, including Protected Series Designations, amendments thereto, statements of change, annual reports, articles of dissolution of the Company, articles of protected series dissolution, and, after winding up a Protected Series, statements of designation cancellation,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"Administrative Member"</w:t>
      </w:r>
      <w:r>
        <w:rPr>
          <w:rFonts w:ascii="Times New Roman" w:hAnsi="Times New Roman"/>
          <w:sz w:val="24"/>
          <w:szCs w:val="24"/>
        </w:rPr>
        <w:t xml:space="preserve">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pPr>
        <w:widowControl/>
        <w:spacing w:after="160"/>
        <w:jc w:val="both"/>
      </w:pPr>
      <w:r>
        <w:rPr>
          <w:rFonts w:ascii="Times New Roman" w:hAnsi="Times New Roman"/>
          <w:b/>
          <w:sz w:val="24"/>
          <w:szCs w:val="24"/>
        </w:rPr>
        <w:t xml:space="preserve">2.3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2.4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2.5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2.6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2.7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2.8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2.9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widowControl/>
        <w:spacing w:after="160"/>
        <w:jc w:val="both"/>
      </w:pPr>
      <w:r>
        <w:rPr>
          <w:rFonts w:ascii="Times New Roman" w:hAnsi="Times New Roman"/>
          <w:b/>
          <w:sz w:val="24"/>
          <w:szCs w:val="24"/>
        </w:rPr>
        <w:t xml:space="preserve">2.10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widowControl/>
        <w:spacing w:after="160"/>
        <w:jc w:val="both"/>
      </w:pPr>
      <w:r>
        <w:rPr>
          <w:rFonts w:ascii="Times New Roman" w:hAnsi="Times New Roman"/>
          <w:b/>
          <w:sz w:val="24"/>
          <w:szCs w:val="24"/>
        </w:rPr>
        <w:t xml:space="preserve">2.11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widowControl/>
        <w:spacing w:after="160"/>
        <w:jc w:val="both"/>
      </w:pPr>
      <w:r>
        <w:rPr>
          <w:rFonts w:ascii="Times New Roman" w:hAnsi="Times New Roman"/>
          <w:b/>
          <w:sz w:val="24"/>
          <w:szCs w:val="24"/>
        </w:rPr>
        <w:t xml:space="preserve">2.12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2.13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widowControl/>
        <w:spacing w:after="160"/>
        <w:jc w:val="both"/>
      </w:pPr>
      <w:r>
        <w:rPr>
          <w:rFonts w:ascii="Times New Roman" w:hAnsi="Times New Roman"/>
          <w:b/>
          <w:sz w:val="24"/>
          <w:szCs w:val="24"/>
        </w:rPr>
        <w:t xml:space="preserve">2.14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2.15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2.16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widowControl/>
        <w:spacing w:after="160"/>
        <w:jc w:val="both"/>
      </w:pPr>
      <w:r>
        <w:rPr>
          <w:rFonts w:ascii="Times New Roman" w:hAnsi="Times New Roman"/>
          <w:b/>
          <w:sz w:val="24"/>
          <w:szCs w:val="24"/>
        </w:rPr>
        <w:t xml:space="preserve">2.17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each Member;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as ss. 605.2602 and 605.2605–605.2607, Florida Statutes, permit;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No Member is personally liable, directly or indirectly, by way of contribution or otherwise, for any debt, obligation, or liability of the Company or of any Protected Series solely by reason of being or acting as a member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the provisions of Article 8, or the provisions of Article 9.</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MEMBERS; VOTING; MEMBER DUTIES</w:t>
      </w:r>
    </w:p>
    <w:p>
      <w:pPr>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or fractions of the whole, as set forth on Exhibit A; no certificates shall be issued unless a Majority in Interest determines otherwise. Each Member's interest in the Company is personal property for all purposes.</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entirety or as joint tenants with right of survivorship shall be voted only by the consensus of both spouses; neither spouse acting alone may vote the interest except as the other spouse's attorney-in-fact under a duly executed power of attorney.</w:t>
      </w:r>
    </w:p>
    <w:p>
      <w:pPr>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pPr>
        <w:keepNext/>
        <w:widowControl/>
        <w:spacing w:after="160"/>
        <w:jc w:val="both"/>
      </w:pPr>
      <w:r>
        <w:rPr>
          <w:rFonts w:ascii="Times New Roman" w:hAnsi="Times New Roman"/>
          <w:b/>
          <w:sz w:val="24"/>
          <w:szCs w:val="24"/>
        </w:rPr>
        <w:t xml:space="preserve">4.7 Competition. [SELECT ONE ALTERNATIVE — see Instructions]</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Subject to Section 9.3(b), a Member who is an individual may designate any person or entity as a beneficiary. A designation may name a backup beneficiary to take if the first beneficiary does not survive the Member. Members who hold a Membership Interest jointly as tenants in common may not designate a TOD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widowControl/>
        <w:spacing w:after="160"/>
        <w:jc w:val="both"/>
      </w:pPr>
      <w:r>
        <w:rPr>
          <w:rFonts w:ascii="Times New Roman" w:hAnsi="Times New Roman"/>
          <w:b/>
          <w:sz w:val="24"/>
          <w:szCs w:val="24"/>
        </w:rPr>
        <w:t xml:space="preserve">4.12 Incapacity of a Member.</w:t>
      </w:r>
      <w:r>
        <w:rPr>
          <w:rFonts w:ascii="Times New Roman" w:hAnsi="Times New Roman"/>
          <w:sz w:val="24"/>
          <w:szCs w:val="24"/>
        </w:rPr>
        <w:t xml:space="preserve">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and the other Members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 BY THE MEMBERS</w:t>
      </w:r>
    </w:p>
    <w:p>
      <w:pPr>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Members. There is no manager of the Company, and no person shall be designated or hold out as a manager of the Company. The Members serve as protected-series managers as provided in Section 5.2.</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managed by the Members. As permitted by s. 605.2107(1)(n), Florida Statutes, this Section varies s. 605.2304(2) so that the Members, rather than the Company, are the protected-series managers of each Protected Series. Every decision with respect to a Protected Series is made by a Majority in Interest of the Members as provided in Section 5.3, and the Administrative Member performs for each Protected Series the ministerial functions described in Section 5.8. The Members have, with respect to each Protected Series, the rights, powers, and duties of protected-series managers under the Act, subject to this Agreement and the Series Exhibit.</w:t>
      </w:r>
    </w:p>
    <w:p>
      <w:pPr>
        <w:widowControl/>
        <w:spacing w:after="160"/>
        <w:jc w:val="both"/>
      </w:pPr>
      <w:r>
        <w:rPr>
          <w:rFonts w:ascii="Times New Roman" w:hAnsi="Times New Roman"/>
          <w:b/>
          <w:sz w:val="24"/>
          <w:szCs w:val="24"/>
        </w:rPr>
        <w:t xml:space="preserve">5.3 Voting; Decisions.</w:t>
      </w:r>
      <w:r>
        <w:rPr>
          <w:rFonts w:ascii="Times New Roman" w:hAnsi="Times New Roman"/>
          <w:sz w:val="24"/>
          <w:szCs w:val="24"/>
        </w:rPr>
        <w:t xml:space="preserve">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pPr>
        <w:keepNext/>
        <w:widowControl/>
        <w:spacing w:after="160"/>
        <w:jc w:val="both"/>
      </w:pPr>
      <w:r>
        <w:rPr>
          <w:rFonts w:ascii="Times New Roman" w:hAnsi="Times New Roman"/>
          <w:b/>
          <w:sz w:val="24"/>
          <w:szCs w:val="24"/>
        </w:rPr>
        <w:t xml:space="preserve">5.4 Authority to Act; Limits on Authority.</w:t>
      </w:r>
      <w:r>
        <w:rPr>
          <w:rFonts w:ascii="Times New Roman" w:hAnsi="Times New Roman"/>
          <w:sz w:val="24"/>
          <w:szCs w:val="24"/>
        </w:rPr>
        <w:t xml:space="preserve"> Each Member is an agent of the Company for the purpose of its activities and affairs to the extent provided by the Act. As among the Members, and notwithstanding that authority:</w:t>
      </w:r>
    </w:p>
    <w:p>
      <w:pPr>
        <w:widowControl/>
        <w:spacing w:after="160"/>
        <w:jc w:val="both"/>
      </w:pPr>
      <w:r>
        <w:rPr>
          <w:rFonts w:ascii="Times New Roman" w:hAnsi="Times New Roman"/>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widowControl/>
        <w:spacing w:after="160"/>
        <w:jc w:val="both"/>
      </w:pPr>
      <w:r>
        <w:rPr>
          <w:rFonts w:ascii="Times New Roman" w:hAnsi="Times New Roman"/>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widowControl/>
        <w:spacing w:after="160"/>
        <w:jc w:val="both"/>
      </w:pPr>
      <w:r>
        <w:rPr>
          <w:rFonts w:ascii="Times New Roman" w:hAnsi="Times New Roman"/>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Next/>
        <w:widowControl/>
        <w:spacing w:after="160"/>
        <w:jc w:val="both"/>
      </w:pPr>
      <w:r>
        <w:rPr>
          <w:rFonts w:ascii="Times New Roman" w:hAnsi="Times New Roman"/>
          <w:b/>
          <w:sz w:val="24"/>
          <w:szCs w:val="24"/>
        </w:rPr>
        <w:t xml:space="preserve">5.5 Actions Requiring Member Approval.</w:t>
      </w:r>
      <w:r>
        <w:rPr>
          <w:rFonts w:ascii="Times New Roman" w:hAnsi="Times New Roman"/>
          <w:sz w:val="24"/>
          <w:szCs w:val="24"/>
        </w:rPr>
        <w:t xml:space="preserve"> No Member shall do any of the following without the approval stated:</w:t>
      </w:r>
    </w:p>
    <w:p>
      <w:pPr>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cause any Associated Asset to become an Associated Asset of the Company or of a different Protected Series</w:t>
      </w:r>
      <w:r>
        <w:rPr>
          <w:rFonts w:ascii="Times New Roman" w:hAnsi="Times New Roman"/>
          <w:sz w:val="24"/>
          <w:szCs w:val="24"/>
        </w:rPr>
        <w:t xml:space="preserve"> — the consent of a Majority in Interest;</w:t>
      </w:r>
    </w:p>
    <w:p>
      <w:pPr>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articles of protected series dissolution — the approval required by Section 14.1;</w:t>
      </w:r>
    </w:p>
    <w:p>
      <w:pPr>
        <w:widowControl/>
        <w:spacing w:after="160"/>
        <w:jc w:val="both"/>
      </w:pPr>
      <w:r>
        <w:rPr>
          <w:rFonts w:ascii="Times New Roman" w:hAnsi="Times New Roman"/>
          <w:sz w:val="24"/>
          <w:szCs w:val="24"/>
        </w:rPr>
        <w:t xml:space="preserve">(e) admit any additional Member — the approval required by Article 12;</w:t>
      </w:r>
    </w:p>
    <w:p>
      <w:pPr>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(g) lend money of the Company or of a Protected Series to, or borrow from, a Member or an affiliate of a Member, other than loans under Section 6.5 — the consent of a Majority in Interest of the disinterested Members;</w:t>
      </w:r>
    </w:p>
    <w:p>
      <w:pPr>
        <w:widowControl/>
        <w:spacing w:after="160"/>
        <w:jc w:val="both"/>
      </w:pPr>
      <w:r>
        <w:rPr>
          <w:rFonts w:ascii="Times New Roman" w:hAnsi="Times New Roman"/>
          <w:sz w:val="24"/>
          <w:szCs w:val="24"/>
        </w:rPr>
        <w:t xml:space="preserve">(h) amend this Agreement or any Series Exhibit — the approval required by Section 15.1; or</w:t>
      </w:r>
    </w:p>
    <w:p>
      <w:pPr>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b/>
          <w:sz w:val="24"/>
          <w:szCs w:val="24"/>
        </w:rPr>
        <w:t xml:space="preserve">5.6 Standard of Conduct; Exculpation.</w:t>
      </w:r>
      <w:r>
        <w:rPr>
          <w:rFonts w:ascii="Times New Roman" w:hAnsi="Times New Roman"/>
          <w:sz w:val="24"/>
          <w:szCs w:val="24"/>
        </w:rPr>
        <w:t xml:space="preserve"> Each Member shall discharge the duties of a member of a member-managed limited liability company consistent with the Act.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5.7 Indemnification.</w:t>
      </w:r>
      <w:r>
        <w:rPr>
          <w:rFonts w:ascii="Times New Roman" w:hAnsi="Times New Roman"/>
          <w:sz w:val="24"/>
          <w:szCs w:val="24"/>
        </w:rPr>
        <w:t xml:space="preserve">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widowControl/>
        <w:spacing w:after="160"/>
        <w:jc w:val="both"/>
      </w:pPr>
      <w:r>
        <w:rPr>
          <w:rFonts w:ascii="Times New Roman" w:hAnsi="Times New Roman"/>
          <w:b/>
          <w:sz w:val="24"/>
          <w:szCs w:val="24"/>
        </w:rPr>
        <w:t xml:space="preserve">5.8 Administrative Member.</w:t>
      </w:r>
      <w:r>
        <w:rPr>
          <w:rFonts w:ascii="Times New Roman" w:hAnsi="Times New Roman"/>
          <w:sz w:val="24"/>
          <w:szCs w:val="24"/>
        </w:rPr>
        <w:t xml:space="preserve">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pPr>
        <w:widowControl/>
        <w:spacing w:after="160"/>
        <w:jc w:val="both"/>
      </w:pPr>
      <w:r>
        <w:rPr>
          <w:rFonts w:ascii="Times New Roman" w:hAnsi="Times New Roman"/>
          <w:b/>
          <w:sz w:val="24"/>
          <w:szCs w:val="24"/>
        </w:rPr>
        <w:t xml:space="preserve">5.9 Statement of Authority.</w:t>
      </w:r>
      <w:r>
        <w:rPr>
          <w:rFonts w:ascii="Times New Roman" w:hAnsi="Times New Roman"/>
          <w:sz w:val="24"/>
          <w:szCs w:val="24"/>
        </w:rPr>
        <w:t xml:space="preserve"> With the consent of all Members required by Section 5.5(i), the Members may cause a statement of authority to be filed with the Department for the Company or the relevant Protected Series under s. 605.0302, Florida Statutes, stating the authority, or the limitations on the authority, of Members to transfer or encumber real property held in the name of the entity identified in the statement, and may cause a certified copy of that statement to be recorded in the official records of any county in which the real property is located. A statement concerning real property held in the name of the Company shall identify the Company as the entity whose authority is stated. A statement concerning real property held in the name of a Protected Series shall be filed for and identify that Protected Series as the entity whose authority is stated. A statement so filed shall be consistent with this Agreement, and the Members shall cause it to be amended or cancelled as necessary to keep it accurate. The limitations in Section 5.4(b) apply among the Members whether or not a statement of authority is filed or recorded.</w:t>
      </w:r>
    </w:p>
    <w:p>
      <w:pPr>
        <w:widowControl/>
        <w:spacing w:after="160"/>
        <w:jc w:val="both"/>
      </w:pPr>
      <w:r>
        <w:rPr>
          <w:rFonts w:ascii="Times New Roman" w:hAnsi="Times New Roman"/>
          <w:b/>
          <w:sz w:val="24"/>
          <w:szCs w:val="24"/>
        </w:rPr>
        <w:t xml:space="preserve">5.10 Compensation; Reimbursement; Shared Expenses.</w:t>
      </w:r>
      <w:r>
        <w:rPr>
          <w:rFonts w:ascii="Times New Roman" w:hAnsi="Times New Roman"/>
          <w:sz w:val="24"/>
          <w:szCs w:val="24"/>
        </w:rPr>
        <w:t xml:space="preserve">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6.6 Contribution Records; Identical Rights.</w:t>
      </w:r>
      <w:r>
        <w:rPr>
          <w:rFonts w:ascii="Times New Roman" w:hAnsi="Times New Roman"/>
          <w:sz w:val="24"/>
          <w:szCs w:val="24"/>
        </w:rPr>
        <w:t xml:space="preserve">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personally obligates any Member to contribute capital beyond the contributions required by Sections 6.1 and 6.2.</w:t>
      </w:r>
    </w:p>
    <w:p>
      <w:pPr>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ALLOCATIONS AND DISTRIBUTIONS</w:t>
      </w:r>
    </w:p>
    <w:p>
      <w:pPr>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All items of income, gain, loss, deduction, and credit of the Company and of each Protected Series shall be allocated among the Members strictly pro rata in accordance with their Percentage Interests, consistent with sections 1366 and 1377 of the Internal Revenue Code of 1986, as amended (the "Code").</w:t>
      </w:r>
    </w:p>
    <w:p>
      <w:pPr>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strictly pro rata in accordance with their Percentage Interests, and every such distribution shall confer identical rights on every Membership Interest. Each distribution shall be recorded in the records maintained under Article 8, identifying its source.</w:t>
      </w:r>
    </w:p>
    <w:p>
      <w:pPr>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a Majority in Interest may cause distributions to be made 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A tax distribution funded from the Associated Assets of a Protected Series shall be made by that Protected Series to the Company and distributed by the Company to the Members, and is treated as an advance against later distributions under Section 7.2.</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Administrative Member shall maintain, for the Company and for each Protected Series, the records described in this Article. Members' inspection rights are as stated in Section 4.10.</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Administrative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Administrative Member shall cause to be prepared and filed all tax returns required of the Company (including Form 1120-S) and of each Protected Series, if necessary or required, and shall deliver to each Member, after the end of each fiscal year, the information (including Schedule K-1) necessary for the Member's returns.</w:t>
      </w:r>
    </w:p>
    <w:p>
      <w:pPr>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null and void ab initio and shall be given no force or effect for any purpose; (b) a TOD designation under Section 4.11 is effective only in favor of a beneficiary that is an eligible S corporation shareholder; and (c) no Protected Series may be established, and no interest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Next/>
        <w:widowControl/>
        <w:spacing w:after="160"/>
        <w:jc w:val="both"/>
      </w:pPr>
      <w:r>
        <w:rPr>
          <w:rFonts w:ascii="Times New Roman" w:hAnsi="Times New Roman"/>
          <w:b/>
          <w:sz w:val="24"/>
          <w:szCs w:val="24"/>
        </w:rPr>
        <w:t xml:space="preserve">9.4 S Corporation Status; Intent; Savings Clause.</w:t>
      </w:r>
    </w:p>
    <w:p>
      <w:pPr>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 with that intent.</w:t>
      </w:r>
    </w:p>
    <w:p>
      <w:pPr>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No Member,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widowControl/>
        <w:spacing w:after="160"/>
        <w:jc w:val="both"/>
      </w:pPr>
      <w:r>
        <w:rPr>
          <w:rFonts w:ascii="Times New Roman" w:hAnsi="Times New Roman"/>
          <w:b/>
          <w:sz w:val="24"/>
          <w:szCs w:val="24"/>
        </w:rPr>
        <w:t xml:space="preserve">(d) Pro rata in all events.</w:t>
      </w:r>
      <w:r>
        <w:rPr>
          <w:rFonts w:ascii="Times New Roman" w:hAnsi="Times New Roman"/>
          <w:sz w:val="24"/>
          <w:szCs w:val="24"/>
        </w:rPr>
        <w:t xml:space="preserve"> Notwithstanding any other provision of this Agreement or of any Series Exhibit, all allocations and distributions by the Company to its Members — including distributions in liquidation of the Company — shall be made strictly pro rata in accordance with Percentage Interests, and every Membership Interest confers identical rights to distributions and liquidation proceeds. All distributions by a Protected Series, including in liquidation, shall be made solely to the Company as provided in Sections 7.2 and 14.2.</w:t>
      </w:r>
    </w:p>
    <w:p>
      <w:pPr>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Members shall cooperate to obtain relief for an inadvertent termination or invalid election under section 1362(f) of the Code, including making the adjustments and taking the actions the Internal Revenue Service may require.</w:t>
      </w:r>
    </w:p>
    <w:p>
      <w:pPr>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A Majority in Interest may make, change, or revoke any other tax election for the Company or any Protected Series that is consistent with maintaining the S corporation election and that it determines to be in the best interests of the Members as a whole.</w:t>
      </w:r>
    </w:p>
    <w:p>
      <w:pPr>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a Majority in Interest.</w:t>
      </w:r>
    </w:p>
    <w:p>
      <w:pPr>
        <w:keepNext/>
        <w:widowControl/>
        <w:spacing w:before="240" w:after="200"/>
      </w:pPr>
      <w:r>
        <w:rPr>
          <w:rFonts w:ascii="Times New Roman" w:hAnsi="Times New Roman"/>
          <w:b/>
          <w:sz w:val="26"/>
          <w:szCs w:val="26"/>
        </w:rPr>
        <w:t xml:space="preserve">ARTICLE 10 — TRANSFERS; CREDITOR PROVISIONS</w:t>
      </w:r>
    </w:p>
    <w:p>
      <w:pPr>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pPr>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widowControl/>
        <w:spacing w:before="240" w:after="200"/>
      </w:pPr>
      <w:r>
        <w:rPr>
          <w:rFonts w:ascii="Times New Roman" w:hAnsi="Times New Roman"/>
          <w:b/>
          <w:sz w:val="26"/>
          <w:szCs w:val="26"/>
        </w:rPr>
        <w:t xml:space="preserve">ARTICLE 11 — EXECUTORY CONTRACT</w:t>
      </w:r>
    </w:p>
    <w:p>
      <w:pPr>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The Members acknowledge that this Agreement imposes continuing managerial and governance obligations and is intended to be an executory contract. Under 11 U.S.C. § 365(c)(1) and applicable Florida law (including Chapter 605 and this Agreement), a trustee or debtor in possession may not assume or assign a debtor Member’s governance or management rights, or cause a substitute to be admitted as a Member, without the prior written consent of the other Members. Nothing in this Section limits the estate’s interest in a Member’s transferable (economic) interest to the extent permitted by applicable law.</w:t>
      </w:r>
    </w:p>
    <w:p>
      <w:pPr>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widowControl/>
        <w:spacing w:before="240" w:after="200"/>
      </w:pPr>
      <w:r>
        <w:rPr>
          <w:rFonts w:ascii="Times New Roman" w:hAnsi="Times New Roman"/>
          <w:b/>
          <w:sz w:val="26"/>
          <w:szCs w:val="26"/>
        </w:rPr>
        <w:t xml:space="preserve">ARTICLE 12 — ADMISSION OF MEMBERS; ASSOCIATION WITH PROTECTED SERIES</w:t>
      </w:r>
    </w:p>
    <w:p>
      <w:pPr>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and only if that person is an eligible S corporation shareholder under section 1361 of the Code and the admission would not cause the number of shareholders to exceed the limit of that section, except that (a) a TOD beneficiary is admitted as provided in Section 4.11, and (b) a permitted family transferee under Section 10.2 may be admitted with the written consent of a Majority in Interest of the Members other than the transferor. Any purported admission in violation of this Section is null and void ab initio and shall be given no force or effect for any purpose.</w:t>
      </w:r>
    </w:p>
    <w:p>
      <w:pPr>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13 — WITHDRAWAL; DEADLOCK</w:t>
      </w:r>
    </w:p>
    <w:p>
      <w:pPr>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Next/>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widowControl/>
        <w:spacing w:before="240" w:after="200"/>
      </w:pPr>
      <w:r>
        <w:rPr>
          <w:rFonts w:ascii="Times New Roman" w:hAnsi="Times New Roman"/>
          <w:b/>
          <w:sz w:val="26"/>
          <w:szCs w:val="26"/>
        </w:rPr>
        <w:t xml:space="preserve">ARTICLE 14 — DISSOLUTION AND WINDING UP</w:t>
      </w:r>
    </w:p>
    <w:p>
      <w:pPr>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by the Company to its Members in winding up shall be made in proportion to Percentage Interests, so that every Membership Interest confers identical rights to liquidation proceeds. Distributions in winding up a Protected Series shall be made solely to the Company as provided in Section 14.2.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14.5 No Obligation to Contribute; Recourse Limited.</w:t>
      </w:r>
      <w:r>
        <w:rPr>
          <w:rFonts w:ascii="Times New Roman" w:hAnsi="Times New Roman"/>
          <w:sz w:val="24"/>
          <w:szCs w:val="24"/>
        </w:rPr>
        <w:t xml:space="preserve"> No Member shall have any obligation to contribute capital in connection with any winding up (beyond unpaid contributions duly required under Sections 6.1 and 6.2),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15 — AMENDMENTS; CONSENTS</w:t>
      </w:r>
    </w:p>
    <w:p>
      <w:pPr>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the Administrative Member may amend Exhibit A and the Series Exhibits without further consent solely to record changes duly made under this Agreement (admissions, Transfers, TOD designations, capital adjustments under Section 6.3). Oral, implied, or course-of-dealing amendments are of no effect.</w:t>
      </w:r>
    </w:p>
    <w:p>
      <w:pPr>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widowControl/>
        <w:spacing w:before="240" w:after="200"/>
      </w:pPr>
      <w:r>
        <w:rPr>
          <w:rFonts w:ascii="Times New Roman" w:hAnsi="Times New Roman"/>
          <w:b/>
          <w:sz w:val="26"/>
          <w:szCs w:val="26"/>
        </w:rPr>
        <w:t xml:space="preserve">ARTICLE 16 — MISCELLANEOUS</w:t>
      </w:r>
    </w:p>
    <w:p>
      <w:pPr>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 Words in the singular include the plural, and words in the plural include the singular, as the context requires.</w:t>
      </w:r>
    </w:p>
    <w:p>
      <w:pPr>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as of the Effective Date.</w:t>
      </w:r>
    </w:p>
    <w:p>
      <w:pPr>
        <w:keepNext/>
        <w:widowControl/>
        <w:spacing w:after="160"/>
        <w:jc w:val="both"/>
      </w:pPr>
      <w:r>
        <w:rPr>
          <w:rFonts w:ascii="Times New Roman" w:hAnsi="Times New Roman"/>
          <w:b/>
          <w:sz w:val="24"/>
          <w:szCs w:val="24"/>
        </w:rPr>
        <w:t xml:space="preserve">MEMBERS:</w:t>
      </w:r>
    </w:p>
    <w:p>
      <w:pPr>
        <w:keepNext/>
        <w:widowControl/>
        <w:spacing w:after="80"/>
        <w:jc w:val="both"/>
      </w:pPr>
      <w:r>
        <w:rPr>
          <w:rStyle w:val="DraftingChoice"/>
          <w:rFonts w:ascii="Times New Roman" w:hAnsi="Times New Roman"/>
          <w:i/>
          <w:sz w:val="24"/>
          <w:szCs w:val="24"/>
        </w:rPr>
        <w:t xml:space="preserve">[If joint ownership unit:]</w:t>
      </w:r>
    </w:p>
    <w:p>
      <w:pPr>
        <w:keepNext/>
        <w:widowControl/>
        <w:spacing w:after="160"/>
        <w:jc w:val="both"/>
      </w:pPr>
      <w:r>
        <w:rPr>
          <w:rFonts w:ascii="Times New Roman" w:hAnsi="Times New Roman"/>
          <w:b/>
          <w:sz w:val="24"/>
          <w:szCs w:val="24"/>
        </w:rPr>
        <w:t xml:space="preserve">[UNIT]</w:t>
      </w:r>
    </w:p>
    <w:p>
      <w:pPr>
        <w:keepNext/>
        <w:widowControl/>
        <w:spacing w:after="160"/>
        <w:jc w:val="both"/>
      </w:pPr>
      <w:r>
        <w:rPr>
          <w:rFonts w:ascii="Times New Roman" w:hAnsi="Times New Roman"/>
          <w:sz w:val="24"/>
          <w:szCs w:val="24"/>
        </w:rPr>
        <w:t xml:space="preserve">[HOLDING]</w:t>
      </w:r>
    </w:p>
    <w:p>
      <w:pPr>
        <w:widowControl/>
        <w:spacing w:after="80"/>
        <w:jc w:val="both"/>
      </w:pPr>
      <w:r>
        <w:rPr>
          <w:rStyle w:val="DraftingChoice"/>
          <w:rFonts w:ascii="Times New Roman" w:hAnsi="Times New Roman"/>
          <w:i/>
          <w:sz w:val="24"/>
          <w:szCs w:val="24"/>
        </w:rPr>
        <w:t xml:space="preserve">[End if joint ownership unit.]</w:t>
      </w:r>
    </w:p>
    <w:p>
      <w:pPr>
        <w:keepNext/>
        <w:widowControl/>
        <w:spacing w:after="80"/>
        <w:jc w:val="both"/>
      </w:pPr>
      <w:r>
        <w:rPr>
          <w:rStyle w:val="DraftingChoice"/>
          <w:rFonts w:ascii="Times New Roman" w:hAnsi="Times New Roman"/>
          <w:i/>
          <w:sz w:val="24"/>
          <w:szCs w:val="24"/>
        </w:rPr>
        <w:t xml:space="preserve">[If individual signer:]</w:t>
      </w:r>
    </w:p>
    <w:p>
      <w:pPr>
        <w:keepNext/>
        <w:widowControl/>
        <w:spacing w:after="160"/>
        <w:jc w:val="both"/>
      </w:pPr>
      <w:r>
        <w:rPr>
          <w:rFonts w:ascii="Times New Roman" w:hAnsi="Times New Roman"/>
          <w:sz w:val="24"/>
          <w:szCs w:val="24"/>
        </w:rPr>
        <w:t xml:space="preserve">_____________________________</w:t>
      </w:r>
    </w:p>
    <w:p>
      <w:pPr>
        <w:keepNext/>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individual signer.]</w:t>
      </w:r>
    </w:p>
    <w:p>
      <w:pPr>
        <w:keepNext/>
        <w:widowControl/>
        <w:spacing w:after="80"/>
        <w:jc w:val="both"/>
      </w:pPr>
      <w:r>
        <w:rPr>
          <w:rStyle w:val="DraftingChoice"/>
          <w:rFonts w:ascii="Times New Roman" w:hAnsi="Times New Roman"/>
          <w:i/>
          <w:sz w:val="24"/>
          <w:szCs w:val="24"/>
        </w:rPr>
        <w:t xml:space="preserve">[If entity signer:]</w:t>
      </w:r>
    </w:p>
    <w:p>
      <w:pPr>
        <w:keepNext/>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By: _____________________________</w:t>
      </w:r>
    </w:p>
    <w:p>
      <w:pPr>
        <w:keepNext/>
        <w:keepLines/>
        <w:widowControl/>
        <w:spacing w:after="160"/>
        <w:ind w:left="407"/>
      </w:pPr>
      <w:r>
        <w:rPr>
          <w:rFonts w:ascii="Times New Roman" w:hAnsi="Times New Roman"/>
          <w:sz w:val="24"/>
          <w:szCs w:val="24"/>
        </w:rPr>
        <w:t xml:space="preserve">[PRINTED NAME]</w:t>
      </w:r>
    </w:p>
    <w:p>
      <w:pPr>
        <w:keepNext/>
        <w:keepLines/>
        <w:widowControl/>
        <w:spacing w:after="160"/>
        <w:ind w:left="407"/>
      </w:pPr>
      <w:r>
        <w:rPr>
          <w:rFonts w:ascii="Times New Roman" w:hAnsi="Times New Roman"/>
          <w:sz w:val="24"/>
          <w:szCs w:val="24"/>
        </w:rPr>
        <w:t xml:space="preserve">[TITLE]</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entity signer.]</w:t>
      </w:r>
    </w:p>
    <w:p>
      <w:pPr>
        <w:pageBreakBefore/>
        <w:keepNext/>
        <w:widowControl/>
        <w:spacing w:before="240" w:after="200"/>
      </w:pPr>
      <w:r>
        <w:rPr>
          <w:rFonts w:ascii="Times New Roman" w:hAnsi="Times New Roman"/>
          <w:b/>
          <w:sz w:val="26"/>
          <w:szCs w:val="26"/>
        </w:rPr>
        <w:t xml:space="preserve">EXHIBIT A — MEMBERS; PERCENTAGE INTERESTS; CONTRIBUTIONS; TOD DESIGNATIONS</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 </w:t>
            </w:r>
            <w:r>
              <w:rPr>
                <w:rStyle w:val="DraftingChoice"/>
                <w:rFonts w:ascii="Times New Roman" w:hAnsi="Times New Roman"/>
                <w:i/>
                <w:sz w:val="22"/>
                <w:szCs w:val="22"/>
              </w:rPr>
              <w:t xml:space="preserve">[If joint: </w:t>
            </w:r>
            <w:r>
              <w:rPr>
                <w:rFonts w:ascii="Times New Roman" w:hAnsi="Times New Roman"/>
                <w:sz w:val="22"/>
                <w:szCs w:val="22"/>
              </w:rPr>
              <w:t xml:space="preserve">as [HOLDING]</w:t>
            </w:r>
            <w:r>
              <w:rPr>
                <w:rStyle w:val="DraftingChoice"/>
                <w:rFonts w:ascii="Times New Roman" w:hAnsi="Times New Roman"/>
                <w:i/>
                <w:sz w:val="22"/>
                <w:szCs w:val="22"/>
              </w:rPr>
              <w:t xml:space="preserve">]</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SHARE]</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CONTRIBUTION]</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0"/>
      </w:pPr>
      <w:r>
        <w:rPr>
          <w:rFonts w:ascii="Times New Roman" w:hAnsi="Times New Roman"/>
          <w:sz w:val="24"/>
        </w:rPr>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Contributed by</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w:t>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VALUE]</w:t>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BY]</w:t>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TO]</w:t>
            </w:r>
          </w:p>
        </w:tc>
      </w:tr>
    </w:tbl>
    <w:p>
      <w:pPr>
        <w:widowControl/>
        <w:spacing w:after="0"/>
      </w:pPr>
      <w:r>
        <w:rPr>
          <w:rFonts w:ascii="Times New Roman" w:hAnsi="Times New Roman"/>
          <w:sz w:val="24"/>
        </w:rPr>
      </w:r>
    </w:p>
    <w:p>
      <w:pPr>
        <w:keepNext/>
        <w:widowControl/>
        <w:spacing w:after="160"/>
        <w:jc w:val="both"/>
      </w:pPr>
      <w:r>
        <w:rPr>
          <w:rFonts w:ascii="Times New Roman" w:hAnsi="Times New Roman"/>
          <w:b/>
          <w:sz w:val="24"/>
          <w:szCs w:val="24"/>
        </w:rPr>
        <w:t xml:space="preserve">Allocation of the Company's capital to the Protected Series: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Protected Series</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Assets allocated by the Company</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r>
      <w:tr>
        <w:trP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 TOTAL]</w:t>
            </w:r>
          </w:p>
        </w:tc>
      </w:tr>
      <w:tr>
        <w:trP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Retained by the Company</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 ASSETS]</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w:t>
            </w:r>
          </w:p>
        </w:tc>
      </w:tr>
    </w:tbl>
    <w:p>
      <w:pPr>
        <w:widowControl/>
        <w:spacing w:after="0"/>
      </w:pPr>
      <w:r>
        <w:rPr>
          <w:rFonts w:ascii="Times New Roman" w:hAnsi="Times New Roman"/>
          <w:sz w:val="24"/>
        </w:rPr>
      </w:r>
    </w:p>
    <w:p>
      <w:pPr>
        <w:keepNext/>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(eligible S corporation shareholder)</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If that beneficiary does not survive the Member</w:t>
            </w:r>
          </w:p>
        </w:tc>
      </w:tr>
      <w:tr>
        <w:trP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TOD] </w:t>
            </w:r>
            <w:r>
              <w:rPr>
                <w:rStyle w:val="DraftingChoice"/>
                <w:rFonts w:ascii="Times New Roman" w:hAnsi="Times New Roman"/>
                <w:i/>
                <w:sz w:val="22"/>
                <w:szCs w:val="22"/>
              </w:rPr>
              <w:t xml:space="preserve">[If spouses: </w:t>
            </w:r>
            <w:r>
              <w:rPr>
                <w:rFonts w:ascii="Times New Roman" w:hAnsi="Times New Roman"/>
                <w:sz w:val="22"/>
                <w:szCs w:val="22"/>
              </w:rPr>
              <w:t xml:space="preserve">(effective at the death of the last surviving spouse)</w:t>
            </w:r>
            <w:r>
              <w:rPr>
                <w:rStyle w:val="DraftingChoice"/>
                <w:rFonts w:ascii="Times New Roman" w:hAnsi="Times New Roman"/>
                <w:i/>
                <w:sz w:val="22"/>
                <w:szCs w:val="22"/>
              </w:rPr>
              <w:t xml:space="preserve">]</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TOD BACKUP]</w:t>
            </w:r>
          </w:p>
        </w:tc>
      </w:tr>
    </w:tbl>
    <w:p>
      <w:pPr>
        <w:widowControl/>
        <w:spacing w:after="0"/>
      </w:pPr>
      <w:r>
        <w:rPr>
          <w:rFonts w:ascii="Times New Roman" w:hAnsi="Times New Roman"/>
          <w:sz w:val="24"/>
        </w:rPr>
      </w:r>
    </w:p>
    <w:p>
      <w:pPr>
        <w:widowControl/>
        <w:spacing w:after="160"/>
        <w:jc w:val="both"/>
      </w:pPr>
      <w:r>
        <w:rPr>
          <w:rFonts w:ascii="Times New Roman" w:hAnsi="Times New Roman"/>
          <w:sz w:val="24"/>
          <w:szCs w:val="24"/>
        </w:rPr>
        <w:t xml:space="preserve">A designation is effective only in favor of a beneficiary that is an eligible S corporation shareholder (Section 9.3(b)).</w:t>
      </w:r>
    </w:p>
    <w:p>
      <w:pPr>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Any lawful purpose </w:t>
            </w:r>
            <w:r>
              <w:rPr>
                <w:rStyle w:val="DraftingChoice"/>
                <w:rFonts w:ascii="Times New Roman" w:hAnsi="Times New Roman"/>
                <w:i/>
                <w:sz w:val="22"/>
                <w:szCs w:val="22"/>
              </w:rPr>
              <w:t xml:space="preserve">[If additional purpose: </w:t>
            </w:r>
            <w:r>
              <w:rPr>
                <w:rFonts w:ascii="Times New Roman" w:hAnsi="Times New Roman"/>
                <w:sz w:val="22"/>
                <w:szCs w:val="22"/>
              </w:rPr>
              <w:t xml:space="preserve">, including, without limitation, [PURPOSE]</w:t>
            </w:r>
            <w:r>
              <w:rPr>
                <w:rStyle w:val="DraftingChoice"/>
                <w:rFonts w:ascii="Times New Roman" w:hAnsi="Times New Roman"/>
                <w:i/>
                <w:sz w:val="22"/>
                <w:szCs w:val="22"/>
              </w:rPr>
              <w:t xml:space="preserv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Members, as protected-series managers (s. 605.2304, Fla. Stat., as varied by Section 5.2 of the Agreement), acting by a Majority in Interest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Article 9, or non-variable provisions of the Act]</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a Majority in Interest of its Members:</w:t>
      </w:r>
    </w:p>
    <w:p>
      <w:pPr>
        <w:keepNext/>
        <w:widowControl/>
        <w:spacing w:after="80"/>
        <w:jc w:val="both"/>
      </w:pPr>
      <w:r>
        <w:rPr>
          <w:rStyle w:val="DraftingChoice"/>
          <w:rFonts w:ascii="Times New Roman" w:hAnsi="Times New Roman"/>
          <w:i/>
          <w:sz w:val="24"/>
          <w:szCs w:val="24"/>
        </w:rPr>
        <w:t xml:space="preserve">[If individual signer:]</w:t>
      </w:r>
    </w:p>
    <w:p>
      <w:pPr>
        <w:keepNext/>
        <w:widowControl/>
        <w:spacing w:after="160"/>
        <w:jc w:val="both"/>
      </w:pPr>
      <w:r>
        <w:rPr>
          <w:rFonts w:ascii="Times New Roman" w:hAnsi="Times New Roman"/>
          <w:sz w:val="24"/>
          <w:szCs w:val="24"/>
        </w:rPr>
        <w:t xml:space="preserve">_____________________________</w:t>
      </w:r>
    </w:p>
    <w:p>
      <w:pPr>
        <w:keepNext/>
        <w:widowControl/>
        <w:spacing w:after="160"/>
        <w:jc w:val="both"/>
      </w:pPr>
      <w:r>
        <w:rPr>
          <w:rFonts w:ascii="Times New Roman" w:hAnsi="Times New Roman"/>
          <w:sz w:val="24"/>
          <w:szCs w:val="24"/>
        </w:rPr>
        <w:t xml:space="preserve">[ADOPTER NAME], Member</w:t>
      </w:r>
    </w:p>
    <w:p>
      <w:pPr>
        <w:widowControl/>
        <w:spacing w:after="80"/>
        <w:jc w:val="both"/>
      </w:pPr>
      <w:r>
        <w:rPr>
          <w:rStyle w:val="DraftingChoice"/>
          <w:rFonts w:ascii="Times New Roman" w:hAnsi="Times New Roman"/>
          <w:i/>
          <w:sz w:val="24"/>
          <w:szCs w:val="24"/>
        </w:rPr>
        <w:t xml:space="preserve">[End if individual signer.]</w:t>
      </w:r>
    </w:p>
    <w:p>
      <w:pPr>
        <w:keepNext/>
        <w:widowControl/>
        <w:spacing w:after="80"/>
        <w:jc w:val="both"/>
      </w:pPr>
      <w:r>
        <w:rPr>
          <w:rStyle w:val="DraftingChoice"/>
          <w:rFonts w:ascii="Times New Roman" w:hAnsi="Times New Roman"/>
          <w:i/>
          <w:sz w:val="24"/>
          <w:szCs w:val="24"/>
        </w:rPr>
        <w:t xml:space="preserve">[If entity signer:]</w:t>
      </w:r>
    </w:p>
    <w:p>
      <w:pPr>
        <w:keepNext/>
        <w:widowControl/>
        <w:spacing w:after="160"/>
        <w:jc w:val="both"/>
      </w:pPr>
      <w:r>
        <w:rPr>
          <w:rFonts w:ascii="Times New Roman" w:hAnsi="Times New Roman"/>
          <w:sz w:val="24"/>
          <w:szCs w:val="24"/>
        </w:rPr>
        <w:t xml:space="preserve">[ADOPTER NAME], Member</w:t>
      </w:r>
    </w:p>
    <w:p>
      <w:pPr>
        <w:keepNext/>
        <w:widowControl/>
        <w:spacing w:after="160"/>
        <w:jc w:val="both"/>
      </w:pPr>
      <w:r>
        <w:rPr>
          <w:rFonts w:ascii="Times New Roman" w:hAnsi="Times New Roman"/>
          <w:sz w:val="24"/>
          <w:szCs w:val="24"/>
        </w:rPr>
        <w:t xml:space="preserve">By: _____________________________</w:t>
      </w:r>
    </w:p>
    <w:p>
      <w:pPr>
        <w:keepNext/>
        <w:keepLines/>
        <w:widowControl/>
        <w:spacing w:after="160"/>
        <w:ind w:left="407"/>
      </w:pPr>
      <w:r>
        <w:rPr>
          <w:rFonts w:ascii="Times New Roman" w:hAnsi="Times New Roman"/>
          <w:sz w:val="24"/>
          <w:szCs w:val="24"/>
        </w:rPr>
        <w:t xml:space="preserve">[PRINTED NAME]</w:t>
      </w:r>
    </w:p>
    <w:p>
      <w:pPr>
        <w:keepNext/>
        <w:keepLines/>
        <w:widowControl/>
        <w:spacing w:after="160"/>
        <w:ind w:left="407"/>
      </w:pPr>
      <w:r>
        <w:rPr>
          <w:rFonts w:ascii="Times New Roman" w:hAnsi="Times New Roman"/>
          <w:sz w:val="24"/>
          <w:szCs w:val="24"/>
        </w:rPr>
        <w:t xml:space="preserve">[TITLE]</w:t>
      </w:r>
    </w:p>
    <w:p>
      <w:pPr>
        <w:widowControl/>
        <w:spacing w:after="80"/>
        <w:jc w:val="both"/>
      </w:pPr>
      <w:r>
        <w:rPr>
          <w:rStyle w:val="DraftingChoice"/>
          <w:rFonts w:ascii="Times New Roman" w:hAnsi="Times New Roman"/>
          <w:i/>
          <w:sz w:val="24"/>
          <w:szCs w:val="24"/>
        </w:rPr>
        <w:t xml:space="preserve">[End if entity signer.]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(Member-Managed, Multiple Members / S Corporation), v1 draft. Statutory citations in this form: ss. 48.062, 605.0102, 605.0302, 605.0502, 605.0503, 605.0702, 605.2101, 605.2103, 605.2107, 605.2201, 605.2301, 605.2302, 605.2303, 605.2304, 605.2401, 605.2602, 605.2605, 605.2607, 605.2802, 605.04091, 711.50, 711.501, 711.512, Fla. Stat.; 11 U.S.C. §365; In re Soderstrom, 484 B.R. 874 (M.D. Fla. 2013). Internal Revenue Code sections: 1361, 1362, 1366, 1377, 1378.</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