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2.14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2.15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w:t>
      </w:r>
      <w:r>
        <w:rPr>
          <w:rStyle w:val="DraftingChoice"/>
          <w:rFonts w:ascii="Times New Roman" w:hAnsi="Times New Roman"/>
          <w:i/>
          <w:sz w:val="24"/>
          <w:szCs w:val="24"/>
        </w:rPr>
        <w:t xml:space="preserve">[One manager: </w:t>
      </w:r>
      <w:r>
        <w:rPr>
          <w:rFonts w:ascii="Times New Roman" w:hAnsi="Times New Roman"/>
          <w:sz w:val="24"/>
          <w:szCs w:val="24"/>
        </w:rPr>
        <w:t xml:space="preserve">The initial Manager is [MANAGER NAMES].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sz w:val="24"/>
          <w:szCs w:val="24"/>
        </w:rPr>
        <w:t xml:space="preserve">The initial Managers are [MANAGER NAMES].</w:t>
      </w:r>
      <w:r>
        <w:rPr>
          <w:rStyle w:val="DraftingChoice"/>
          <w:rFonts w:ascii="Times New Roman" w:hAnsi="Times New Roman"/>
          <w:i/>
          <w:sz w:val="24"/>
          <w:szCs w:val="24"/>
        </w:rPr>
        <w:t xml:space="preserve">]</w:t>
      </w:r>
      <w:r>
        <w:rPr>
          <w:rFonts w:ascii="Times New Roman" w:hAnsi="Times New Roman"/>
          <w:sz w:val="24"/>
          <w:szCs w:val="24"/>
        </w:rPr>
        <w:t xml:space="preserve">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 or</w:t>
      </w:r>
    </w:p>
    <w:p>
      <w:pPr>
        <w:widowControl/>
        <w:spacing w:after="160"/>
        <w:jc w:val="both"/>
      </w:pPr>
      <w:r>
        <w:rPr>
          <w:rFonts w:ascii="Times New Roman" w:hAnsi="Times New Roman"/>
          <w:sz w:val="24"/>
          <w:szCs w:val="24"/>
        </w:rPr>
        <w:t xml:space="preserve">(b) file, amend, or cancel a statement of authority under s. 605.0302, Florida Statutes, or record a certified copy of one.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taken without the approval Section 5.4 requires;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acts without the approval Section 5.4 requires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5.4(b), the Manager may cause a statement of authority to be filed with the Department for the Company or the relevant Protected Series under s. 605.0302, Florida Statutes, stating the authority, or the limitations on the authority, of the Manager, of any Protected Series Manager,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w:t>
      </w:r>
    </w:p>
    <w:p>
      <w:pPr>
        <w:keepNext/>
        <w:widowControl/>
        <w:spacing w:after="80"/>
        <w:jc w:val="both"/>
      </w:pPr>
      <w:r>
        <w:rPr>
          <w:rStyle w:val="DraftingChoice"/>
          <w:rFonts w:ascii="Times New Roman" w:hAnsi="Times New Roman"/>
          <w:i/>
          <w:sz w:val="24"/>
          <w:szCs w:val="24"/>
        </w:rPr>
        <w:t xml:space="preserve">[If individual member:]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member.]</w:t>
      </w:r>
    </w:p>
    <w:p>
      <w:pPr>
        <w:keepNext/>
        <w:widowControl/>
        <w:spacing w:after="80"/>
        <w:jc w:val="both"/>
      </w:pPr>
      <w:r>
        <w:rPr>
          <w:rStyle w:val="DraftingChoice"/>
          <w:rFonts w:ascii="Times New Roman" w:hAnsi="Times New Roman"/>
          <w:i/>
          <w:sz w:val="24"/>
          <w:szCs w:val="24"/>
        </w:rPr>
        <w:t xml:space="preserve">[If entity member:]</w:t>
      </w:r>
    </w:p>
    <w:p>
      <w:pPr>
        <w:keepNext/>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member.]</w:t>
      </w:r>
    </w:p>
    <w:p>
      <w:pPr>
        <w:widowControl/>
        <w:spacing w:after="16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ACKNOWLEDGED AND AGREED BY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ACKNOWLEDGED AND AGREED BY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purpose: </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widowControl/>
        <w:spacing w:after="16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Adopted effective [DATE] by the Company, acting through its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Adopted effective [DATE] by the Company, acting through its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Protected Series Manager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in this form: ss. 48.062, 605.0102, 605.0302, 605.0602, 605.2101, 605.2103, 605.2107, 605.2201, 605.2301, 605.2302, 605.2303, 605.2304, 605.2401, 605.2602, 605.2605, 605.2607, 605.2802, 605.04074, 711.50, 711.501, 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