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Article 10 addresses admission of an additional member. Transfer provisions also appear elsewhere in the agreement, including Section 9.3’s shareholder-eligibility restrictions in the S corporation forms and Section 1.4’s ownership requirements for professional companies.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For example, if you use a member-managed, multi-member agreement and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Administrative dissolution also dissolves the company’s protected series and requires them to wind up; it does not immediately terminate their existence.</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dissolution by the state for failing to meet statutory requirements. The company continues to exist for winding up, and its protected series must also wind up. Dissolution is not immediate termination; reinstatement can allow the company and its series to resume operations.</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