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widowControl/>
        <w:spacing w:after="160"/>
        <w:jc w:val="both"/>
      </w:pPr>
      <w:r>
        <w:rPr>
          <w:rFonts w:ascii="Times New Roman" w:hAnsi="Times New Roman"/>
          <w:b/>
          <w:sz w:val="24"/>
          <w:szCs w:val="24"/>
        </w:rPr>
        <w:t xml:space="preserve">Initial contributions to Protected Series, treated as contributed first to the Company by the Members in proportion to their Percentage Interests and then by the Company to the series:</w:t>
      </w:r>
      <w:r>
        <w:rPr>
          <w:rFonts w:ascii="Times New Roman" w:hAnsi="Times New Roman"/>
          <w:sz w:val="24"/>
          <w:szCs w:val="24"/>
        </w:rPr>
        <w:t xml:space="preserve"> [SERIES CONTRIBUTIONS]</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