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Single Member)</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1.10A Membership Interest.</w:t>
      </w:r>
      <w:r>
        <w:rPr>
          <w:rFonts w:ascii="Times New Roman" w:hAnsi="Times New Roman"/>
          <w:sz w:val="24"/>
          <w:szCs w:val="24"/>
        </w:rPr>
        <w:t xml:space="preserve"> The Member's interest in the Company is personal property for all purposes.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The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the Member or the Manager.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keepLines/>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of each Protected Series with which the Member is associated, and all rights of a member under the Act and this Agreement.</w:t>
      </w:r>
    </w:p>
    <w:p>
      <w:pPr>
        <w:keepLines/>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2.12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all members of the Company (which, while the Member is the sole member, means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Manager acts for the Company in that capacity and may designate a Protected Series Manager in a Series Exhibit to act under the Manager's supervision.</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THE MEMBER; MEMBERSHIP INTEREST</w:t>
      </w:r>
    </w:p>
    <w:p>
      <w:pPr>
        <w:keepLines/>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keepLines/>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w:t>
      </w:r>
      <w:r>
        <w:rPr>
          <w:rFonts w:ascii="Times New Roman" w:hAnsi="Times New Roman"/>
          <w:b/>
          <w:sz w:val="24"/>
          <w:szCs w:val="24"/>
        </w:rPr>
        <w:t xml:space="preserve">[MANAGER NAME]</w:t>
      </w:r>
      <w:r>
        <w:rPr>
          <w:rFonts w:ascii="Times New Roman" w:hAnsi="Times New Roman"/>
          <w:sz w:val="24"/>
          <w:szCs w:val="24"/>
        </w:rPr>
        <w:t xml:space="preserve">. The Manager need not be a member. The Manager serves until resignation, removal by the Member, death, or incapacity; the Member may remove and replace the Manager, and shall fill any vacancy,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Protected Series Manager of each Protected Series is the Manager of the Company unless the applicable Series Exhibit names a different person. A Protected Series Manager has, with respect to its Protected Series, the rights, powers, and duties that a manager of a manager-managed limited liability company has under the Act, subject to this Agreement and the Series Exhibit.</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protected-series managers, which are not varied by this Agreement.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5.6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keepLines/>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DISTRIBUTIONS</w:t>
      </w:r>
    </w:p>
    <w:p>
      <w:pPr>
        <w:keepLines/>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to the Member (or, in the case of a Protected Series, to the Company).</w:t>
      </w:r>
    </w:p>
    <w:p>
      <w:pPr>
        <w:keepLines/>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and distributions in respect of the Company shall be made solely from the Associated Assets of the Company.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the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transfer, re-association, or re-titling of an asset between the Company and a Protected Series or between Protected Series (an "Inter-Series Transfer")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8.5A, and the association of the interest shall be established by those records.</w:t>
      </w:r>
    </w:p>
    <w:p>
      <w:pPr>
        <w:keepLines/>
        <w:widowControl/>
        <w:spacing w:after="160"/>
        <w:jc w:val="both"/>
      </w:pPr>
      <w:r>
        <w:rPr>
          <w:rFonts w:ascii="Times New Roman" w:hAnsi="Times New Roman"/>
          <w:b/>
          <w:sz w:val="24"/>
          <w:szCs w:val="24"/>
        </w:rPr>
        <w:t xml:space="preserve">8.5A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Lines/>
        <w:widowControl/>
        <w:spacing w:after="160"/>
        <w:jc w:val="both"/>
      </w:pP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The Member may inspect and copy the records described in this Article at reasonable times, consistent with the Act.</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Manager shall review the records maintained under this Article for compliance with s. 605.2301, Florida Statutes, and shall correct any deficiency promptly upon discovery. Upon completing the review, the Manager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and each Protected Series each be disregarded as an entity separate from the Member for federal income tax purposes, and that all items of income, gain, loss, deduction, and credit be reported directly by the Member. The classification of the Company and of each Protected Series shall in all events be determined under federal tax law as applied to each of them, and nothing in this Agreement constitutes tax advice or a guarantee of any particular tax treatment.</w:t>
      </w:r>
    </w:p>
    <w:p>
      <w:pPr>
        <w:keepLines/>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keepLines/>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9.4 Change in Circumstances.</w:t>
      </w:r>
      <w:r>
        <w:rPr>
          <w:rFonts w:ascii="Times New Roman" w:hAnsi="Times New Roman"/>
          <w:sz w:val="24"/>
          <w:szCs w:val="24"/>
        </w:rPr>
        <w:t xml:space="preserve"> If any Protected Series or the Company ceases to qualify for disregarded treatment (including upon the admission of an additional member or the association of an additional person with any Protected Series), the Member and the Manager shall amend this Agreement (or adopt the Company's partnership-form operating agreement) as provided in Article 11 before or promptly upon the change.</w:t>
      </w:r>
    </w:p>
    <w:p>
      <w:pPr>
        <w:keepLines/>
        <w:widowControl/>
        <w:spacing w:after="160"/>
        <w:jc w:val="both"/>
      </w:pPr>
      <w:r>
        <w:rPr>
          <w:rFonts w:ascii="Times New Roman" w:hAnsi="Times New Roman"/>
          <w:b/>
          <w:sz w:val="24"/>
          <w:szCs w:val="24"/>
        </w:rPr>
        <w:t xml:space="preserve">9.5 S Corporation Election.</w:t>
      </w:r>
      <w:r>
        <w:rPr>
          <w:rFonts w:ascii="Times New Roman" w:hAnsi="Times New Roman"/>
          <w:sz w:val="24"/>
          <w:szCs w:val="24"/>
        </w:rPr>
        <w:t xml:space="preserve"> The Member may cause the Company to elect classification as an association taxable as a corporation and S corporation status under section 1362 of the Code. Before or promptly upon making any such election, the Member shall amend and restate this Agreement in the Company's S corporation form of operating agreement, under which all allocations and distributions are made strictly pro rata and every ownership interest confers identical rights to distributions and liquidation proceeds.</w:t>
      </w:r>
    </w:p>
    <w:p>
      <w:pPr>
        <w:keepLines/>
        <w:widowControl/>
        <w:spacing w:after="160"/>
        <w:jc w:val="both"/>
      </w:pPr>
      <w:r>
        <w:rPr>
          <w:rFonts w:ascii="Times New Roman" w:hAnsi="Times New Roman"/>
          <w:sz w:val="24"/>
          <w:szCs w:val="24"/>
        </w:rPr>
        <w:t xml:space="preserve">From the effective date of any such election, and whether or not this Agreement has yet been amended and restated, it is the express intent of the Member that the Company qualify at all times as a small business corporation eligible for a valid election under section 1362 of the Code and that the election remain in effect; any provision of this Agreement, of any Series Exhibit, or of any other agreement relating to the Company or any Protected Series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 If the election nonetheless terminates or is determined to be invalid, the Member shall cooperate to obtain relief for an inadvertent termination or invalid election under section 1362(f) of the Code.</w:t>
      </w:r>
    </w:p>
    <w:p>
      <w:pPr>
        <w:keepNext/>
        <w:keepLines/>
        <w:widowControl/>
        <w:spacing w:before="240" w:after="0"/>
      </w:pPr>
      <w:r>
        <w:rPr>
          <w:rFonts w:ascii="Times New Roman" w:hAnsi="Times New Roman"/>
          <w:b/>
          <w:sz w:val="26"/>
          <w:szCs w:val="26"/>
        </w:rPr>
        <w:t xml:space="preserve">ARTICLE 10 — TRANSFERS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The Member shall not Transfer all or any portion of the Membership Interest, or any right to receive distributions from the Company or any Protected Series, except (a) a Transfer to an Immediate Family Member made in compliance with Section 10.2, (b) a Transfer effective at death pursuant to the TOD designation under Section 4.6, or (c) another Transfer approved in writing by the Member and reflected in an amendment to Exhibit A.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the Membership Interest to an Immediate Family Member is permitted, provided the transferee delivers to the Company a signed agreement to be bound by this Agreement. A transferee (other than a person admitted as a member under Section 11.1) holds only the transferable interest — the right to receive distributions that would otherwise be paid to the Member with respect to the transferred interest — and has no right to participate in management, to inspect records, or to exercise any other right of a member.</w:t>
      </w:r>
    </w:p>
    <w:p>
      <w:pPr>
        <w:keepLines/>
        <w:widowControl/>
        <w:spacing w:after="160"/>
        <w:jc w:val="both"/>
      </w:pPr>
      <w:r>
        <w:rPr>
          <w:rFonts w:ascii="Times New Roman" w:hAnsi="Times New Roman"/>
          <w:b/>
          <w:sz w:val="24"/>
          <w:szCs w:val="24"/>
        </w:rPr>
        <w:t xml:space="preserve">10.3 No Dissociation by Transfer Alone.</w:t>
      </w:r>
      <w:r>
        <w:rPr>
          <w:rFonts w:ascii="Times New Roman" w:hAnsi="Times New Roman"/>
          <w:sz w:val="24"/>
          <w:szCs w:val="24"/>
        </w:rPr>
        <w:t xml:space="preserve"> A Transfer does not by itself dissociate the Member or dissolve the Company or any Protected Series.</w:t>
      </w:r>
    </w:p>
    <w:p>
      <w:pPr>
        <w:keepNext/>
        <w:keepLines/>
        <w:widowControl/>
        <w:spacing w:before="240" w:after="0"/>
      </w:pPr>
      <w:r>
        <w:rPr>
          <w:rFonts w:ascii="Times New Roman" w:hAnsi="Times New Roman"/>
          <w:b/>
          <w:sz w:val="26"/>
          <w:szCs w:val="26"/>
        </w:rPr>
        <w:t xml:space="preserve">ARTICLE 11 — ADMISSION OF ADDITIONAL MEMBERS</w:t>
      </w:r>
    </w:p>
    <w:p>
      <w:pPr>
        <w:keepLines/>
        <w:widowControl/>
        <w:spacing w:after="160"/>
        <w:jc w:val="both"/>
      </w:pPr>
      <w:r>
        <w:rPr>
          <w:rFonts w:ascii="Times New Roman" w:hAnsi="Times New Roman"/>
          <w:b/>
          <w:sz w:val="24"/>
          <w:szCs w:val="24"/>
        </w:rPr>
        <w:t xml:space="preserve">11.1 Admission.</w:t>
      </w:r>
      <w:r>
        <w:rPr>
          <w:rFonts w:ascii="Times New Roman" w:hAnsi="Times New Roman"/>
          <w:sz w:val="24"/>
          <w:szCs w:val="24"/>
        </w:rPr>
        <w:t xml:space="preserve"> One or more additional members may be admitted to the Company, and any member may be associated with any Protected Series, only with the written consent of the Member and upon the admitted person's delivery of a signed agreement to be bound by this Agreement.</w:t>
      </w:r>
    </w:p>
    <w:p>
      <w:pPr>
        <w:keepLines/>
        <w:widowControl/>
        <w:spacing w:after="160"/>
        <w:jc w:val="both"/>
      </w:pPr>
      <w:r>
        <w:rPr>
          <w:rFonts w:ascii="Times New Roman" w:hAnsi="Times New Roman"/>
          <w:b/>
          <w:sz w:val="24"/>
          <w:szCs w:val="24"/>
        </w:rPr>
        <w:t xml:space="preserve">11.2 Successor Agreement.</w:t>
      </w:r>
      <w:r>
        <w:rPr>
          <w:rFonts w:ascii="Times New Roman" w:hAnsi="Times New Roman"/>
          <w:sz w:val="24"/>
          <w:szCs w:val="24"/>
        </w:rPr>
        <w:t xml:space="preserve"> The parties acknowledge that this Agreement is drafted for a Company having a single member and intended disregarded-entity tax treatment. Prior to or promptly upon the admission of an additional member (or the association of any additional person with any Protected Series), the members shall amend and restate this Agreement in a form appropriate for multiple members — including provisions for percentages, capital accounts, allocations, and partnership tax administration — and until such amendment and restatement, the default provisions of the Act shall govern the matters this Agreement does not address for multiple members.</w:t>
      </w:r>
    </w:p>
    <w:p>
      <w:pPr>
        <w:keepLines/>
        <w:widowControl/>
        <w:spacing w:after="160"/>
        <w:jc w:val="both"/>
      </w:pPr>
      <w:r>
        <w:rPr>
          <w:rFonts w:ascii="Times New Roman" w:hAnsi="Times New Roman"/>
          <w:b/>
          <w:sz w:val="24"/>
          <w:szCs w:val="24"/>
        </w:rPr>
        <w:t xml:space="preserve">11.3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12 — DISSOLUTION AND WINDING UP</w:t>
      </w:r>
    </w:p>
    <w:p>
      <w:pPr>
        <w:keepLines/>
        <w:widowControl/>
        <w:spacing w:after="160"/>
        <w:jc w:val="both"/>
      </w:pPr>
      <w:r>
        <w:rPr>
          <w:rFonts w:ascii="Times New Roman" w:hAnsi="Times New Roman"/>
          <w:b/>
          <w:sz w:val="24"/>
          <w:szCs w:val="24"/>
        </w:rPr>
        <w:t xml:space="preserve">12.1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b/>
          <w:sz w:val="24"/>
          <w:szCs w:val="24"/>
        </w:rPr>
        <w:t xml:space="preserve">12.2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12.3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12.4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12.5 No Deficit Obligation; Recourse Limited.</w:t>
      </w:r>
      <w:r>
        <w:rPr>
          <w:rFonts w:ascii="Times New Roman" w:hAnsi="Times New Roman"/>
          <w:sz w:val="24"/>
          <w:szCs w:val="24"/>
        </w:rPr>
        <w:t xml:space="preserve"> The Member shall have no obligation to restore any deficit or to contribute capital in connection with any winding up,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13 — AMENDMENTS; CONSENTS</w:t>
      </w:r>
    </w:p>
    <w:p>
      <w:pPr>
        <w:keepLines/>
        <w:widowControl/>
        <w:spacing w:after="160"/>
        <w:jc w:val="both"/>
      </w:pPr>
      <w:r>
        <w:rPr>
          <w:rFonts w:ascii="Times New Roman" w:hAnsi="Times New Roman"/>
          <w:b/>
          <w:sz w:val="24"/>
          <w:szCs w:val="24"/>
        </w:rPr>
        <w:t xml:space="preserve">13.1 Amendments.</w:t>
      </w:r>
      <w:r>
        <w:rPr>
          <w:rFonts w:ascii="Times New Roman" w:hAnsi="Times New Roman"/>
          <w:sz w:val="24"/>
          <w:szCs w:val="24"/>
        </w:rPr>
        <w:t xml:space="preserve"> This Agreement, including any Series Exhibit, may be amended only by a written instrument signed by the Member; provided, that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13.2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keepLines/>
        <w:widowControl/>
        <w:spacing w:before="240" w:after="0"/>
      </w:pPr>
      <w:r>
        <w:rPr>
          <w:rFonts w:ascii="Times New Roman" w:hAnsi="Times New Roman"/>
          <w:b/>
          <w:sz w:val="26"/>
          <w:szCs w:val="26"/>
        </w:rPr>
        <w:t xml:space="preserve">ARTICLE 14 — MISCELLANEOUS</w:t>
      </w:r>
    </w:p>
    <w:p>
      <w:pPr>
        <w:keepLines/>
        <w:widowControl/>
        <w:spacing w:after="160"/>
        <w:jc w:val="both"/>
      </w:pPr>
      <w:r>
        <w:rPr>
          <w:rFonts w:ascii="Times New Roman" w:hAnsi="Times New Roman"/>
          <w:b/>
          <w:sz w:val="24"/>
          <w:szCs w:val="24"/>
        </w:rPr>
        <w:t xml:space="preserve">14.1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14.2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14.3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14.4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14.5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14.6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14.7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14.8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14.9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14.10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b/>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[MANAGER NAME], Manager</w:t>
      </w:r>
    </w:p>
    <w:p>
      <w:pPr>
        <w:keepNext/>
        <w:keepLines/>
        <w:widowControl/>
        <w:spacing w:before="240" w:after="0"/>
      </w:pPr>
      <w:r>
        <w:rPr>
          <w:rFonts w:ascii="Times New Roman" w:hAnsi="Times New Roman"/>
          <w:b/>
          <w:sz w:val="26"/>
          <w:szCs w:val="26"/>
        </w:rPr>
        <w:t xml:space="preserve">EXHIBIT A — MEMBER; CONTRIBUTIONS; TOD DESIGNATION</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pPr>
        <w:keepNext/>
        <w:keepLines/>
        <w:widowControl/>
        <w:spacing w:before="240" w:after="0"/>
      </w:pPr>
      <w:r>
        <w:rPr>
          <w:rFonts w:ascii="Times New Roman" w:hAnsi="Times New Roman"/>
          <w:b/>
          <w:sz w:val="26"/>
          <w:szCs w:val="26"/>
        </w:rPr>
        <w:t xml:space="preserve">SERIES EXHIBIT PS-[N]</w:t>
      </w:r>
    </w:p>
    <w:p>
      <w:pPr>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