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(Section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(s.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s.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s.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s.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on the S corporation forms to the eligible-shareholder rule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s.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so notices reach you,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s.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220.02, 605.0302, 605.0410, 605.0503, 605.0602, 605.0714, 605.1103, 605.04074, 605.2101–605.2802, 711.50–711.512; former s. 212.031 (historical commercial-rent tax);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