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the Members, and the Manager.</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2.8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2.9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2.16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2.17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each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and no Manager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the Manager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or the Manager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Manager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death, or incapacity. If a Manager ceases to serve as Manager for any reason, the remaining Managers shall continue to serve. A Manager may be removed, with or without cause, and a successor or additional Manager may be appointed, by a Majority in Interest, evidenced by a signed writing delivered to the Company.</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 and may be removed and replaced with respect to that Protected Series by a Majority in Interest of the Members.</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Section 5.4 or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Actions Requiring Member Approval.</w:t>
      </w:r>
      <w:r>
        <w:rPr>
          <w:rFonts w:ascii="Times New Roman" w:hAnsi="Times New Roman"/>
          <w:sz w:val="24"/>
          <w:szCs w:val="24"/>
        </w:rPr>
        <w:t xml:space="preserve"> Notwithstanding Section 5.3, neither the Manager nor any Protected Series Manager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 the consent of a Majority in Interest;</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a Majority in Interest;</w:t>
      </w:r>
    </w:p>
    <w:p>
      <w:pPr>
        <w:keepLines/>
        <w:widowControl/>
        <w:spacing w:after="160"/>
        <w:jc w:val="both"/>
      </w:pPr>
      <w:r>
        <w:rPr>
          <w:rFonts w:ascii="Times New Roman" w:hAnsi="Times New Roman"/>
          <w:sz w:val="24"/>
          <w:szCs w:val="24"/>
        </w:rPr>
        <w:t xml:space="preserve">(g) lend money of the Company or of a Protected Series to, or borrow from, a Member, the Manager, or their affiliates,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w:t>
      </w:r>
    </w:p>
    <w:p>
      <w:pPr>
        <w:keepLines/>
        <w:widowControl/>
        <w:spacing w:after="160"/>
        <w:jc w:val="both"/>
      </w:pPr>
      <w:r>
        <w:rPr>
          <w:rFonts w:ascii="Times New Roman" w:hAnsi="Times New Roman"/>
          <w:b/>
          <w:sz w:val="24"/>
          <w:szCs w:val="24"/>
        </w:rPr>
        <w:t xml:space="preserve">5.5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managers and protected-series managers, which are not varied by this Agreement. No Manager or Protected Series Manager shall be liable to the Company, any Protected Series, or any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5.6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5.7 Compensation; Reimbursement; Shared Expenses.</w:t>
      </w:r>
      <w:r>
        <w:rPr>
          <w:rFonts w:ascii="Times New Roman" w:hAnsi="Times New Roman"/>
          <w:sz w:val="24"/>
          <w:szCs w:val="24"/>
        </w:rPr>
        <w:t xml:space="preserve"> The Manager shall serve without salary unless a Majority in Interest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5.8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Lines/>
        <w:widowControl/>
        <w:spacing w:after="160"/>
        <w:jc w:val="both"/>
      </w:pPr>
      <w:r>
        <w:rPr>
          <w:rFonts w:ascii="Times New Roman" w:hAnsi="Times New Roman"/>
          <w:b/>
          <w:sz w:val="24"/>
          <w:szCs w:val="24"/>
        </w:rPr>
        <w:t xml:space="preserve">5.9 Competition; Other Activities of the Manager. [SELECT THE SAME ALTERNATIVE AS SECTION 4.7]</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the Manager shall not compete with the Company or with any Protected Series in the conduct of their activities and affairs. This Section does not prohibit the Manager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The Manager may engage in and possess interests in other business ventures of every kind, whether or not competitive with the activities of the Company or of any Protected Series. Engaging in such ventures does not violate this Agreement or any duty under the Act, the Manager is not obligated to offer any business opportunity to the Company, any Protected Series, or any Member, and neither the Company, any Protected Series, nor any Member shall have any right in such ventures or their income by virtue of this Agreement. </w:t>
      </w:r>
      <w:r>
        <w:rPr>
          <w:rFonts w:ascii="Times New Roman" w:hAnsi="Times New Roman"/>
          <w:i/>
          <w:sz w:val="24"/>
          <w:szCs w:val="24"/>
        </w:rPr>
        <w:t xml:space="preserve">(Retain the Alternative selected in Section 4.7 and delete the other.)</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the Manager may make distributions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Tax distributions in respect of a Protected Series shall be made solely from its Associated Assets and treated as advances against later distributions under Section 7.2.</w:t>
      </w:r>
    </w:p>
    <w:p>
      <w:pPr>
        <w:keepLines/>
        <w:widowControl/>
        <w:spacing w:after="160"/>
        <w:jc w:val="both"/>
      </w:pPr>
      <w:r>
        <w:rPr>
          <w:rFonts w:ascii="Times New Roman" w:hAnsi="Times New Roman"/>
          <w:b/>
          <w:sz w:val="24"/>
          <w:szCs w:val="24"/>
        </w:rPr>
        <w:t xml:space="preserve">7.4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Manager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or the Manager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Manager shall cause to be prepared and filed all tax returns required of the Company (including Form 1120-S) and of each Protected Series,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void to the fullest extent permitted by law;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void to the fullest extent permitted by law.</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and the Manager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The Manager may make, change, or revoke any other tax election for the Company or any Protected Series that is consistent with maintaining the S corporation election and that the Manager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the Manager.</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the Manager and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the Manager at any time within ninety (90) days after the Company receives written notice that the Involuntary Transfer has occurred, to acquire the interest that is the subject of the Involuntary Transfer at its fair value. Fair value shall be the value agreed in writing between the Manager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the Manager,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the Manager,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its Protected Series Manager (or another person designated by a Majority in Interest)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the Manager (or, if there is none,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the Manager, except that an amendment that would alter the rights or obligations of any Member under this Agreement requires the signature of every Member; (b) the Manager may amend Exhibit A and the Series Exhibits without further consent solely to record changes duly made under this Agreement (admissions, Transfers, TOD designations, capital adjustments under Section 6.3); and (c) no amendment may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