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and managed by the Company as provided in Section 3.6.</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 and Protected-Series Manager.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Management.</w:t>
      </w:r>
      <w:r>
        <w:rPr>
          <w:rFonts w:ascii="Times New Roman" w:hAnsi="Times New Roman"/>
          <w:sz w:val="24"/>
          <w:szCs w:val="24"/>
        </w:rPr>
        <w:t xml:space="preserve"> Because no Protected Series has an Associated Member, the Company is the protected-series manager of each Protected Series under s. 605.2304(2), Florida Statutes. The Company acts in that capacity through the Members, and the Administrative Member performs for each Protected Series the ministerial functions described in Section 5.8.</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wholly owned by the Company and, under s. 605.2304(2), Florida Statutes, the Company is its protected-series manager. The Company acts in that capacity through its Members, and all decisions with respect to a Protected Series are made by a Majority in Interest of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which are not varied by this Agreement except to the extent expressly permitted by s. 605.0105, Florida Statutes.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(and, if the amendment would alter the rights or obligations of a Member not associated with that Protected Series, by that Member);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